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9B74" w14:textId="25ACA087" w:rsidR="00B7476E" w:rsidRPr="00BB56BF" w:rsidRDefault="001E2576">
      <w:pPr>
        <w:spacing w:before="120" w:after="0" w:line="288" w:lineRule="auto"/>
        <w:rPr>
          <w:rFonts w:ascii="Khmer UI" w:eastAsia="Khmer" w:hAnsi="Khmer UI" w:cs="Khmer UI"/>
        </w:rPr>
      </w:pPr>
      <w:r w:rsidRPr="00BB56BF">
        <w:rPr>
          <w:rFonts w:ascii="Khmer UI" w:eastAsia="Khmer" w:hAnsi="Khmer UI" w:cs="Khmer UI"/>
          <w:b/>
          <w:sz w:val="32"/>
          <w:szCs w:val="32"/>
        </w:rPr>
        <w:t>Schedule reliability</w:t>
      </w:r>
      <w:r w:rsidRPr="00BB56BF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EB9B7B" wp14:editId="1203C360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B9B82" w14:textId="173EB9ED" w:rsidR="00B7476E" w:rsidRDefault="001E2576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4855AE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Dec 2</w:t>
                            </w:r>
                            <w:r w:rsidR="00C479F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2021)</w:t>
                            </w:r>
                          </w:p>
                          <w:p w14:paraId="6BEB9B83" w14:textId="77777777" w:rsidR="00B7476E" w:rsidRDefault="001E2576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6BEB9B84" w14:textId="77777777" w:rsidR="00B7476E" w:rsidRDefault="00B7476E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B9B7B" id="Rectangle 47" o:spid="_x0000_s1026" style="position:absolute;margin-left:-1in;margin-top:-71pt;width:643.95pt;height:6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6BEB9B82" w14:textId="173EB9ED" w:rsidR="00B7476E" w:rsidRDefault="001E2576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4855AE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Dec 2</w:t>
                      </w:r>
                      <w:r w:rsidR="00C479F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7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2021)</w:t>
                      </w:r>
                    </w:p>
                    <w:p w14:paraId="6BEB9B83" w14:textId="77777777" w:rsidR="00B7476E" w:rsidRDefault="001E2576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6BEB9B84" w14:textId="77777777" w:rsidR="00B7476E" w:rsidRDefault="00B7476E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C3248">
        <w:rPr>
          <w:rFonts w:ascii="Khmer UI" w:eastAsia="Khmer" w:hAnsi="Khmer UI" w:cs="Khmer UI"/>
          <w:b/>
          <w:sz w:val="32"/>
          <w:szCs w:val="32"/>
        </w:rPr>
        <w:t xml:space="preserve"> </w:t>
      </w:r>
      <w:r w:rsidR="00294CA7">
        <w:rPr>
          <w:rFonts w:ascii="Khmer UI" w:eastAsia="Khmer" w:hAnsi="Khmer UI" w:cs="Khmer UI"/>
          <w:b/>
          <w:sz w:val="32"/>
          <w:szCs w:val="32"/>
        </w:rPr>
        <w:t>continues to be under 40% in 2021</w:t>
      </w:r>
    </w:p>
    <w:p w14:paraId="6BEB9B75" w14:textId="1320EF9E" w:rsidR="00B7476E" w:rsidRDefault="001E2576">
      <w:pPr>
        <w:spacing w:after="120"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Sea-Intelligence has published issue 12</w:t>
      </w:r>
      <w:r w:rsidR="004855AE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of the </w:t>
      </w:r>
      <w:r>
        <w:rPr>
          <w:rFonts w:ascii="Verdana" w:eastAsia="Verdana" w:hAnsi="Verdana" w:cs="Verdana"/>
          <w:i/>
        </w:rPr>
        <w:t>Global Liner Performance (GLP) report</w:t>
      </w:r>
      <w:r>
        <w:rPr>
          <w:rFonts w:ascii="Verdana" w:eastAsia="Verdana" w:hAnsi="Verdana" w:cs="Verdana"/>
        </w:rPr>
        <w:t xml:space="preserve">, with schedule reliability figures up to and including </w:t>
      </w:r>
      <w:r w:rsidR="004855AE">
        <w:rPr>
          <w:rFonts w:ascii="Verdana" w:eastAsia="Verdana" w:hAnsi="Verdana" w:cs="Verdana"/>
        </w:rPr>
        <w:t xml:space="preserve">November </w:t>
      </w:r>
      <w:r>
        <w:rPr>
          <w:rFonts w:ascii="Verdana" w:eastAsia="Verdana" w:hAnsi="Verdana" w:cs="Verdana"/>
        </w:rPr>
        <w:t>2021. As the report itself is quite comprehensive and covers schedule reliability across 34 different trade lanes and 60+ carriers, this press release will only cover the global highlights from the full report.</w:t>
      </w:r>
    </w:p>
    <w:p w14:paraId="6BEB9B76" w14:textId="120C4E15" w:rsidR="00B7476E" w:rsidRDefault="00C704D5">
      <w:pPr>
        <w:spacing w:after="0" w:line="288" w:lineRule="auto"/>
        <w:jc w:val="both"/>
        <w:rPr>
          <w:rFonts w:ascii="Verdana" w:eastAsia="Verdana" w:hAnsi="Verdana" w:cs="Verdana"/>
        </w:rPr>
      </w:pPr>
      <w:r w:rsidRPr="00C704D5">
        <w:rPr>
          <w:noProof/>
        </w:rPr>
        <w:drawing>
          <wp:inline distT="0" distB="0" distL="0" distR="0" wp14:anchorId="1E058FF9" wp14:editId="411384C5">
            <wp:extent cx="6301105" cy="1968500"/>
            <wp:effectExtent l="0" t="0" r="4445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9B77" w14:textId="420DDF6A" w:rsidR="00B7476E" w:rsidRDefault="00276148">
      <w:pPr>
        <w:spacing w:after="120" w:line="288" w:lineRule="auto"/>
        <w:jc w:val="both"/>
        <w:rPr>
          <w:rFonts w:ascii="Verdana" w:eastAsia="Verdana" w:hAnsi="Verdana" w:cs="Verdana"/>
        </w:rPr>
      </w:pPr>
      <w:r w:rsidRPr="00276148">
        <w:rPr>
          <w:rFonts w:ascii="Verdana" w:eastAsia="Verdana" w:hAnsi="Verdana" w:cs="Verdana"/>
        </w:rPr>
        <w:t xml:space="preserve">Schedule reliability </w:t>
      </w:r>
      <w:r w:rsidR="004855AE">
        <w:rPr>
          <w:rFonts w:ascii="Verdana" w:eastAsia="Verdana" w:hAnsi="Verdana" w:cs="Verdana"/>
        </w:rPr>
        <w:t xml:space="preserve">declined M/M </w:t>
      </w:r>
      <w:r w:rsidR="00294CA7">
        <w:rPr>
          <w:rFonts w:ascii="Verdana" w:eastAsia="Verdana" w:hAnsi="Verdana" w:cs="Verdana"/>
        </w:rPr>
        <w:t xml:space="preserve">in </w:t>
      </w:r>
      <w:r w:rsidR="004855AE">
        <w:rPr>
          <w:rFonts w:ascii="Verdana" w:eastAsia="Verdana" w:hAnsi="Verdana" w:cs="Verdana"/>
        </w:rPr>
        <w:t>November</w:t>
      </w:r>
      <w:r>
        <w:rPr>
          <w:rFonts w:ascii="Verdana" w:eastAsia="Verdana" w:hAnsi="Verdana" w:cs="Verdana"/>
        </w:rPr>
        <w:t xml:space="preserve"> </w:t>
      </w:r>
      <w:r w:rsidR="004855AE">
        <w:rPr>
          <w:rFonts w:ascii="Verdana" w:eastAsia="Verdana" w:hAnsi="Verdana" w:cs="Verdana"/>
        </w:rPr>
        <w:t>by -</w:t>
      </w:r>
      <w:r w:rsidRPr="00276148">
        <w:rPr>
          <w:rFonts w:ascii="Verdana" w:eastAsia="Verdana" w:hAnsi="Verdana" w:cs="Verdana"/>
        </w:rPr>
        <w:t>0.</w:t>
      </w:r>
      <w:r w:rsidR="004855AE">
        <w:rPr>
          <w:rFonts w:ascii="Verdana" w:eastAsia="Verdana" w:hAnsi="Verdana" w:cs="Verdana"/>
        </w:rPr>
        <w:t>6</w:t>
      </w:r>
      <w:r w:rsidRPr="00276148">
        <w:rPr>
          <w:rFonts w:ascii="Verdana" w:eastAsia="Verdana" w:hAnsi="Verdana" w:cs="Verdana"/>
        </w:rPr>
        <w:t xml:space="preserve"> percentage points to 3</w:t>
      </w:r>
      <w:r w:rsidR="004855AE">
        <w:rPr>
          <w:rFonts w:ascii="Verdana" w:eastAsia="Verdana" w:hAnsi="Verdana" w:cs="Verdana"/>
        </w:rPr>
        <w:t>3</w:t>
      </w:r>
      <w:r w:rsidRPr="00276148">
        <w:rPr>
          <w:rFonts w:ascii="Verdana" w:eastAsia="Verdana" w:hAnsi="Verdana" w:cs="Verdana"/>
        </w:rPr>
        <w:t>.</w:t>
      </w:r>
      <w:r w:rsidR="004855AE">
        <w:rPr>
          <w:rFonts w:ascii="Verdana" w:eastAsia="Verdana" w:hAnsi="Verdana" w:cs="Verdana"/>
        </w:rPr>
        <w:t>6</w:t>
      </w:r>
      <w:r w:rsidRPr="00276148">
        <w:rPr>
          <w:rFonts w:ascii="Verdana" w:eastAsia="Verdana" w:hAnsi="Verdana" w:cs="Verdana"/>
        </w:rPr>
        <w:t>%, maintaining the range of 3</w:t>
      </w:r>
      <w:r w:rsidR="004855AE">
        <w:rPr>
          <w:rFonts w:ascii="Verdana" w:eastAsia="Verdana" w:hAnsi="Verdana" w:cs="Verdana"/>
        </w:rPr>
        <w:t>3</w:t>
      </w:r>
      <w:r w:rsidRPr="00276148">
        <w:rPr>
          <w:rFonts w:ascii="Verdana" w:eastAsia="Verdana" w:hAnsi="Verdana" w:cs="Verdana"/>
        </w:rPr>
        <w:t xml:space="preserve">%-40% seen throughout the year. The only </w:t>
      </w:r>
      <w:r w:rsidR="004855AE">
        <w:rPr>
          <w:rFonts w:ascii="Verdana" w:eastAsia="Verdana" w:hAnsi="Verdana" w:cs="Verdana"/>
        </w:rPr>
        <w:t xml:space="preserve">continuing </w:t>
      </w:r>
      <w:r w:rsidRPr="00276148">
        <w:rPr>
          <w:rFonts w:ascii="Verdana" w:eastAsia="Verdana" w:hAnsi="Verdana" w:cs="Verdana"/>
        </w:rPr>
        <w:t xml:space="preserve">“positive”, if one should call it that, is that schedule reliability </w:t>
      </w:r>
      <w:r w:rsidR="004855AE">
        <w:rPr>
          <w:rFonts w:ascii="Verdana" w:eastAsia="Verdana" w:hAnsi="Verdana" w:cs="Verdana"/>
        </w:rPr>
        <w:t xml:space="preserve">has </w:t>
      </w:r>
      <w:r w:rsidRPr="00276148">
        <w:rPr>
          <w:rFonts w:ascii="Verdana" w:eastAsia="Verdana" w:hAnsi="Verdana" w:cs="Verdana"/>
        </w:rPr>
        <w:t>not plummet</w:t>
      </w:r>
      <w:r w:rsidR="004855AE">
        <w:rPr>
          <w:rFonts w:ascii="Verdana" w:eastAsia="Verdana" w:hAnsi="Verdana" w:cs="Verdana"/>
        </w:rPr>
        <w:t>ed</w:t>
      </w:r>
      <w:r w:rsidRPr="00276148">
        <w:rPr>
          <w:rFonts w:ascii="Verdana" w:eastAsia="Verdana" w:hAnsi="Verdana" w:cs="Verdana"/>
        </w:rPr>
        <w:t xml:space="preserve"> further. On a Y/Y level, schedule reliability in </w:t>
      </w:r>
      <w:r w:rsidR="004855AE">
        <w:rPr>
          <w:rFonts w:ascii="Verdana" w:eastAsia="Verdana" w:hAnsi="Verdana" w:cs="Verdana"/>
        </w:rPr>
        <w:t xml:space="preserve">November </w:t>
      </w:r>
      <w:r w:rsidRPr="00276148">
        <w:rPr>
          <w:rFonts w:ascii="Verdana" w:eastAsia="Verdana" w:hAnsi="Verdana" w:cs="Verdana"/>
        </w:rPr>
        <w:t>2021 was down -</w:t>
      </w:r>
      <w:r w:rsidR="00C835E1">
        <w:rPr>
          <w:rFonts w:ascii="Verdana" w:eastAsia="Verdana" w:hAnsi="Verdana" w:cs="Verdana"/>
        </w:rPr>
        <w:t>1</w:t>
      </w:r>
      <w:r w:rsidR="004855AE">
        <w:rPr>
          <w:rFonts w:ascii="Verdana" w:eastAsia="Verdana" w:hAnsi="Verdana" w:cs="Verdana"/>
        </w:rPr>
        <w:t>6</w:t>
      </w:r>
      <w:r w:rsidRPr="00276148">
        <w:rPr>
          <w:rFonts w:ascii="Verdana" w:eastAsia="Verdana" w:hAnsi="Verdana" w:cs="Verdana"/>
        </w:rPr>
        <w:t>.</w:t>
      </w:r>
      <w:r w:rsidR="004855AE">
        <w:rPr>
          <w:rFonts w:ascii="Verdana" w:eastAsia="Verdana" w:hAnsi="Verdana" w:cs="Verdana"/>
        </w:rPr>
        <w:t>4</w:t>
      </w:r>
      <w:r w:rsidRPr="00276148">
        <w:rPr>
          <w:rFonts w:ascii="Verdana" w:eastAsia="Verdana" w:hAnsi="Verdana" w:cs="Verdana"/>
        </w:rPr>
        <w:t xml:space="preserve"> percentage points. </w:t>
      </w:r>
      <w:r>
        <w:rPr>
          <w:rFonts w:ascii="Verdana" w:eastAsia="Verdana" w:hAnsi="Verdana" w:cs="Verdana"/>
        </w:rPr>
        <w:t xml:space="preserve">The average delay for late vessel arrivals </w:t>
      </w:r>
      <w:r w:rsidR="004855AE">
        <w:rPr>
          <w:rFonts w:ascii="Verdana" w:eastAsia="Verdana" w:hAnsi="Verdana" w:cs="Verdana"/>
        </w:rPr>
        <w:t>on the other hand</w:t>
      </w:r>
      <w:r>
        <w:rPr>
          <w:rFonts w:ascii="Verdana" w:eastAsia="Verdana" w:hAnsi="Verdana" w:cs="Verdana"/>
        </w:rPr>
        <w:t xml:space="preserve">, </w:t>
      </w:r>
      <w:r w:rsidR="004855AE">
        <w:rPr>
          <w:rFonts w:ascii="Verdana" w:eastAsia="Verdana" w:hAnsi="Verdana" w:cs="Verdana"/>
        </w:rPr>
        <w:t xml:space="preserve">dropped down </w:t>
      </w:r>
      <w:r>
        <w:rPr>
          <w:rFonts w:ascii="Verdana" w:eastAsia="Verdana" w:hAnsi="Verdana" w:cs="Verdana"/>
        </w:rPr>
        <w:t xml:space="preserve">to </w:t>
      </w:r>
      <w:r w:rsidR="004855AE">
        <w:rPr>
          <w:rFonts w:ascii="Verdana" w:eastAsia="Verdana" w:hAnsi="Verdana" w:cs="Verdana"/>
        </w:rPr>
        <w:t xml:space="preserve">6.93 </w:t>
      </w:r>
      <w:r>
        <w:rPr>
          <w:rFonts w:ascii="Verdana" w:eastAsia="Verdana" w:hAnsi="Verdana" w:cs="Verdana"/>
        </w:rPr>
        <w:t xml:space="preserve">days, albeit still the highest figure for this month, which has been a </w:t>
      </w:r>
      <w:r w:rsidR="004855AE">
        <w:rPr>
          <w:rFonts w:ascii="Verdana" w:eastAsia="Verdana" w:hAnsi="Verdana" w:cs="Verdana"/>
        </w:rPr>
        <w:t xml:space="preserve">recurring </w:t>
      </w:r>
      <w:r>
        <w:rPr>
          <w:rFonts w:ascii="Verdana" w:eastAsia="Verdana" w:hAnsi="Verdana" w:cs="Verdana"/>
        </w:rPr>
        <w:t xml:space="preserve">theme </w:t>
      </w:r>
      <w:r w:rsidR="004855AE">
        <w:rPr>
          <w:rFonts w:ascii="Verdana" w:eastAsia="Verdana" w:hAnsi="Verdana" w:cs="Verdana"/>
        </w:rPr>
        <w:t xml:space="preserve">in </w:t>
      </w:r>
      <w:r>
        <w:rPr>
          <w:rFonts w:ascii="Verdana" w:eastAsia="Verdana" w:hAnsi="Verdana" w:cs="Verdana"/>
        </w:rPr>
        <w:t>2021</w:t>
      </w:r>
      <w:r w:rsidR="001E2576">
        <w:rPr>
          <w:rFonts w:ascii="Verdana" w:eastAsia="Verdana" w:hAnsi="Verdana" w:cs="Verdana"/>
        </w:rPr>
        <w:t>.</w:t>
      </w:r>
    </w:p>
    <w:p w14:paraId="6BEB9B78" w14:textId="77777777" w:rsidR="00B7476E" w:rsidRDefault="00C704D5">
      <w:pPr>
        <w:spacing w:after="120" w:line="288" w:lineRule="auto"/>
        <w:jc w:val="both"/>
        <w:rPr>
          <w:rFonts w:ascii="Verdana" w:eastAsia="Verdana" w:hAnsi="Verdana" w:cs="Verdana"/>
        </w:rPr>
      </w:pPr>
      <w:r w:rsidRPr="00C704D5">
        <w:rPr>
          <w:noProof/>
        </w:rPr>
        <w:drawing>
          <wp:anchor distT="0" distB="0" distL="114300" distR="114300" simplePos="0" relativeHeight="251659264" behindDoc="1" locked="0" layoutInCell="1" allowOverlap="1" wp14:anchorId="1224F049" wp14:editId="5B56E9F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797175" cy="2920365"/>
            <wp:effectExtent l="0" t="0" r="3175" b="0"/>
            <wp:wrapTight wrapText="bothSides">
              <wp:wrapPolygon edited="0">
                <wp:start x="0" y="0"/>
                <wp:lineTo x="0" y="21417"/>
                <wp:lineTo x="21477" y="21417"/>
                <wp:lineTo x="21477" y="0"/>
                <wp:lineTo x="0" y="0"/>
              </wp:wrapPolygon>
            </wp:wrapTight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11" cy="2944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148" w:rsidRPr="00276148">
        <w:rPr>
          <w:rFonts w:ascii="Verdana" w:eastAsia="Verdana" w:hAnsi="Verdana" w:cs="Verdana"/>
        </w:rPr>
        <w:t xml:space="preserve">Maersk was once again the most reliable top-14 carrier in </w:t>
      </w:r>
      <w:r w:rsidR="004855AE">
        <w:rPr>
          <w:rFonts w:ascii="Verdana" w:eastAsia="Verdana" w:hAnsi="Verdana" w:cs="Verdana"/>
        </w:rPr>
        <w:t xml:space="preserve">November </w:t>
      </w:r>
      <w:r w:rsidR="00276148" w:rsidRPr="00276148">
        <w:rPr>
          <w:rFonts w:ascii="Verdana" w:eastAsia="Verdana" w:hAnsi="Verdana" w:cs="Verdana"/>
        </w:rPr>
        <w:t>2021, with schedule reliability of 4</w:t>
      </w:r>
      <w:r w:rsidR="00C835E1">
        <w:rPr>
          <w:rFonts w:ascii="Verdana" w:eastAsia="Verdana" w:hAnsi="Verdana" w:cs="Verdana"/>
        </w:rPr>
        <w:t>6</w:t>
      </w:r>
      <w:r w:rsidR="00276148" w:rsidRPr="00276148">
        <w:rPr>
          <w:rFonts w:ascii="Verdana" w:eastAsia="Verdana" w:hAnsi="Verdana" w:cs="Verdana"/>
        </w:rPr>
        <w:t>.</w:t>
      </w:r>
      <w:r w:rsidR="004855AE">
        <w:rPr>
          <w:rFonts w:ascii="Verdana" w:eastAsia="Verdana" w:hAnsi="Verdana" w:cs="Verdana"/>
        </w:rPr>
        <w:t>3</w:t>
      </w:r>
      <w:r w:rsidR="00276148" w:rsidRPr="00276148">
        <w:rPr>
          <w:rFonts w:ascii="Verdana" w:eastAsia="Verdana" w:hAnsi="Verdana" w:cs="Verdana"/>
        </w:rPr>
        <w:t xml:space="preserve">%, followed by Hamburg Süd with </w:t>
      </w:r>
      <w:r w:rsidR="004855AE">
        <w:rPr>
          <w:rFonts w:ascii="Verdana" w:eastAsia="Verdana" w:hAnsi="Verdana" w:cs="Verdana"/>
        </w:rPr>
        <w:t>40.4</w:t>
      </w:r>
      <w:r w:rsidR="00276148" w:rsidRPr="00276148">
        <w:rPr>
          <w:rFonts w:ascii="Verdana" w:eastAsia="Verdana" w:hAnsi="Verdana" w:cs="Verdana"/>
        </w:rPr>
        <w:t xml:space="preserve">%. </w:t>
      </w:r>
      <w:r w:rsidR="004855AE">
        <w:rPr>
          <w:rFonts w:ascii="Verdana" w:eastAsia="Verdana" w:hAnsi="Verdana" w:cs="Verdana"/>
        </w:rPr>
        <w:t xml:space="preserve">Only MSC </w:t>
      </w:r>
      <w:r w:rsidR="00276148" w:rsidRPr="00276148">
        <w:rPr>
          <w:rFonts w:ascii="Verdana" w:eastAsia="Verdana" w:hAnsi="Verdana" w:cs="Verdana"/>
        </w:rPr>
        <w:t xml:space="preserve">had schedule reliability between 30%-40%, with </w:t>
      </w:r>
      <w:r w:rsidR="00C835E1">
        <w:rPr>
          <w:rFonts w:ascii="Verdana" w:eastAsia="Verdana" w:hAnsi="Verdana" w:cs="Verdana"/>
        </w:rPr>
        <w:t xml:space="preserve">five </w:t>
      </w:r>
      <w:r w:rsidR="00276148" w:rsidRPr="00276148">
        <w:rPr>
          <w:rFonts w:ascii="Verdana" w:eastAsia="Verdana" w:hAnsi="Verdana" w:cs="Verdana"/>
        </w:rPr>
        <w:t xml:space="preserve">carriers recording schedule reliability of 20%-30%. </w:t>
      </w:r>
      <w:r w:rsidR="004855AE">
        <w:rPr>
          <w:rFonts w:ascii="Verdana" w:eastAsia="Verdana" w:hAnsi="Verdana" w:cs="Verdana"/>
        </w:rPr>
        <w:t xml:space="preserve">The remaining six </w:t>
      </w:r>
      <w:r w:rsidR="00276148" w:rsidRPr="00276148">
        <w:rPr>
          <w:rFonts w:ascii="Verdana" w:eastAsia="Verdana" w:hAnsi="Verdana" w:cs="Verdana"/>
        </w:rPr>
        <w:t xml:space="preserve">carriers had schedule reliability of under 20%, with Evergreen recording the lowest </w:t>
      </w:r>
      <w:r w:rsidR="004855AE">
        <w:rPr>
          <w:rFonts w:ascii="Verdana" w:eastAsia="Verdana" w:hAnsi="Verdana" w:cs="Verdana"/>
        </w:rPr>
        <w:t xml:space="preserve">November </w:t>
      </w:r>
      <w:r w:rsidR="00276148" w:rsidRPr="00276148">
        <w:rPr>
          <w:rFonts w:ascii="Verdana" w:eastAsia="Verdana" w:hAnsi="Verdana" w:cs="Verdana"/>
        </w:rPr>
        <w:t xml:space="preserve">2021 schedule reliability of just </w:t>
      </w:r>
      <w:r w:rsidR="004855AE">
        <w:rPr>
          <w:rFonts w:ascii="Verdana" w:eastAsia="Verdana" w:hAnsi="Verdana" w:cs="Verdana"/>
        </w:rPr>
        <w:t>11.8</w:t>
      </w:r>
      <w:r w:rsidR="00276148" w:rsidRPr="00276148">
        <w:rPr>
          <w:rFonts w:ascii="Verdana" w:eastAsia="Verdana" w:hAnsi="Verdana" w:cs="Verdana"/>
        </w:rPr>
        <w:t>%</w:t>
      </w:r>
      <w:r w:rsidR="001E2576">
        <w:rPr>
          <w:rFonts w:ascii="Verdana" w:eastAsia="Verdana" w:hAnsi="Verdana" w:cs="Verdana"/>
        </w:rPr>
        <w:t>.</w:t>
      </w:r>
      <w:r w:rsidR="00276148">
        <w:rPr>
          <w:rFonts w:ascii="Verdana" w:eastAsia="Verdana" w:hAnsi="Verdana" w:cs="Verdana"/>
        </w:rPr>
        <w:t xml:space="preserve"> </w:t>
      </w:r>
      <w:r w:rsidR="004855AE">
        <w:rPr>
          <w:rFonts w:ascii="Verdana" w:eastAsia="Verdana" w:hAnsi="Verdana" w:cs="Verdana"/>
        </w:rPr>
        <w:t xml:space="preserve">Four </w:t>
      </w:r>
      <w:r w:rsidR="00276148">
        <w:rPr>
          <w:rFonts w:ascii="Verdana" w:eastAsia="Verdana" w:hAnsi="Verdana" w:cs="Verdana"/>
        </w:rPr>
        <w:t xml:space="preserve">carriers recorded a M/M improvement in schedule reliability, while no carrier recorded a Y/Y improvement in schedule reliability, with all </w:t>
      </w:r>
      <w:r w:rsidR="00C835E1">
        <w:rPr>
          <w:rFonts w:ascii="Verdana" w:eastAsia="Verdana" w:hAnsi="Verdana" w:cs="Verdana"/>
        </w:rPr>
        <w:t xml:space="preserve">but </w:t>
      </w:r>
      <w:r w:rsidR="004855AE">
        <w:rPr>
          <w:rFonts w:ascii="Verdana" w:eastAsia="Verdana" w:hAnsi="Verdana" w:cs="Verdana"/>
        </w:rPr>
        <w:t xml:space="preserve">Maersk </w:t>
      </w:r>
      <w:r w:rsidR="00276148">
        <w:rPr>
          <w:rFonts w:ascii="Verdana" w:eastAsia="Verdana" w:hAnsi="Verdana" w:cs="Verdana"/>
        </w:rPr>
        <w:t xml:space="preserve">recording double-digit </w:t>
      </w:r>
      <w:r w:rsidR="00EF43EA">
        <w:rPr>
          <w:rFonts w:ascii="Verdana" w:eastAsia="Verdana" w:hAnsi="Verdana" w:cs="Verdana"/>
        </w:rPr>
        <w:t xml:space="preserve">Y/Y </w:t>
      </w:r>
      <w:r w:rsidR="00276148">
        <w:rPr>
          <w:rFonts w:ascii="Verdana" w:eastAsia="Verdana" w:hAnsi="Verdana" w:cs="Verdana"/>
        </w:rPr>
        <w:t>declines</w:t>
      </w:r>
      <w:r w:rsidR="004855AE">
        <w:rPr>
          <w:rFonts w:ascii="Verdana" w:eastAsia="Verdana" w:hAnsi="Verdana" w:cs="Verdana"/>
        </w:rPr>
        <w:t>.</w:t>
      </w:r>
    </w:p>
    <w:p w14:paraId="6BEB9B79" w14:textId="44D8E486" w:rsidR="00B7476E" w:rsidRDefault="001E2576">
      <w:pPr>
        <w:spacing w:after="0" w:line="27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4FC3BD7F" w14:textId="77777777" w:rsidR="004855AE" w:rsidRDefault="004855AE">
      <w:pPr>
        <w:spacing w:after="0" w:line="276" w:lineRule="auto"/>
        <w:jc w:val="center"/>
        <w:rPr>
          <w:rFonts w:ascii="Verdana" w:eastAsia="Verdana" w:hAnsi="Verdana" w:cs="Verdana"/>
        </w:rPr>
      </w:pPr>
    </w:p>
    <w:p w14:paraId="6BEB9B7A" w14:textId="77777777" w:rsidR="00B7476E" w:rsidRDefault="001E2576">
      <w:pPr>
        <w:spacing w:after="120" w:line="27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9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0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 </w:t>
      </w:r>
    </w:p>
    <w:sectPr w:rsidR="00B7476E">
      <w:footerReference w:type="default" r:id="rId11"/>
      <w:pgSz w:w="12240" w:h="15840"/>
      <w:pgMar w:top="1440" w:right="1183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2CD4" w14:textId="77777777" w:rsidR="00DC7BF9" w:rsidRDefault="00DC7BF9">
      <w:pPr>
        <w:spacing w:after="0" w:line="240" w:lineRule="auto"/>
      </w:pPr>
      <w:r>
        <w:separator/>
      </w:r>
    </w:p>
  </w:endnote>
  <w:endnote w:type="continuationSeparator" w:id="0">
    <w:p w14:paraId="11BD3611" w14:textId="77777777" w:rsidR="00DC7BF9" w:rsidRDefault="00DC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Khmer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9B81" w14:textId="0812A6FA" w:rsidR="00B7476E" w:rsidRPr="005420CC" w:rsidRDefault="005420CC" w:rsidP="009E1929">
    <w:pPr>
      <w:pStyle w:val="Footer"/>
      <w:spacing w:after="300"/>
      <w:jc w:val="both"/>
      <w:outlineLvl w:val="3"/>
      <w:rPr>
        <w:rFonts w:ascii="Khmer UI" w:hAnsi="Khmer UI" w:cs="Khmer UI"/>
        <w:i/>
        <w:iCs/>
      </w:rPr>
    </w:pP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Sea</w:t>
    </w:r>
    <w:r w:rsidRPr="005420CC">
      <w:rPr>
        <w:rStyle w:val="SubtleEmphasis"/>
        <w:rFonts w:ascii="Cambria Math" w:hAnsi="Cambria Math" w:cs="Cambria Math"/>
        <w:i w:val="0"/>
        <w:iCs w:val="0"/>
        <w:sz w:val="21"/>
        <w:szCs w:val="21"/>
        <w:lang w:val="en-US"/>
      </w:rPr>
      <w:t>‑</w:t>
    </w: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Intelligence is a leading provider of Research &amp; Analysis, Data Services, and Advisory Services within the global supply chain, with a strong focus on container shipping. Combining strong quantitative analytical skills with a deep understanding of the supply chain industry, based on many decades of experience at all central parts of the Ocean supply chain, Sea</w:t>
    </w:r>
    <w:r w:rsidRPr="005420CC">
      <w:rPr>
        <w:rStyle w:val="SubtleEmphasis"/>
        <w:rFonts w:ascii="Cambria Math" w:hAnsi="Cambria Math" w:cs="Cambria Math"/>
        <w:i w:val="0"/>
        <w:iCs w:val="0"/>
        <w:sz w:val="21"/>
        <w:szCs w:val="21"/>
        <w:lang w:val="en-US"/>
      </w:rPr>
      <w:t>‑</w:t>
    </w: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2A19" w14:textId="77777777" w:rsidR="00DC7BF9" w:rsidRDefault="00DC7BF9">
      <w:pPr>
        <w:spacing w:after="0" w:line="240" w:lineRule="auto"/>
      </w:pPr>
      <w:r>
        <w:separator/>
      </w:r>
    </w:p>
  </w:footnote>
  <w:footnote w:type="continuationSeparator" w:id="0">
    <w:p w14:paraId="241631D1" w14:textId="77777777" w:rsidR="00DC7BF9" w:rsidRDefault="00DC7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6E"/>
    <w:rsid w:val="0004413C"/>
    <w:rsid w:val="001E2576"/>
    <w:rsid w:val="00276148"/>
    <w:rsid w:val="00276C22"/>
    <w:rsid w:val="00294CA7"/>
    <w:rsid w:val="004855AE"/>
    <w:rsid w:val="004C6A32"/>
    <w:rsid w:val="005420CC"/>
    <w:rsid w:val="00576139"/>
    <w:rsid w:val="005A1DD1"/>
    <w:rsid w:val="005E1CE2"/>
    <w:rsid w:val="00630CDE"/>
    <w:rsid w:val="00656B91"/>
    <w:rsid w:val="006C3248"/>
    <w:rsid w:val="0087562D"/>
    <w:rsid w:val="0089544B"/>
    <w:rsid w:val="009E1929"/>
    <w:rsid w:val="00AB1063"/>
    <w:rsid w:val="00B7476E"/>
    <w:rsid w:val="00BB56BF"/>
    <w:rsid w:val="00C479F1"/>
    <w:rsid w:val="00C704D5"/>
    <w:rsid w:val="00C835E1"/>
    <w:rsid w:val="00C970AE"/>
    <w:rsid w:val="00D57573"/>
    <w:rsid w:val="00DC7BF9"/>
    <w:rsid w:val="00EF43EA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B74"/>
  <w15:docId w15:val="{83B3728D-F79E-437B-B962-3FA01B8E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@sea-intellig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@sea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wiynZbSKnB540+qUnUY0VM3ng==">AMUW2mX2kWgRIKsGSEYuNqZXLVJ7RGsL2XFgA97ndwebHmf1A7jk2E+gHu+r889UJ6eveXKrt7osPXf4d2Nvv86yhqQ9jWQwe0cZeCZSmFLYzM3BX73aszA=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Niels Madsen</cp:lastModifiedBy>
  <cp:revision>3</cp:revision>
  <dcterms:created xsi:type="dcterms:W3CDTF">2021-12-23T16:19:00Z</dcterms:created>
  <dcterms:modified xsi:type="dcterms:W3CDTF">2021-12-27T06:12:00Z</dcterms:modified>
</cp:coreProperties>
</file>