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D40A" w14:textId="6855AA97" w:rsidR="00ED3362" w:rsidRDefault="002D7F7B" w:rsidP="00A522FF">
      <w:pPr>
        <w:spacing w:after="0" w:line="276" w:lineRule="auto"/>
        <w:rPr>
          <w:rFonts w:ascii="Khmer" w:eastAsia="Khmer" w:hAnsi="Khmer" w:cs="Khmer"/>
          <w:b/>
          <w:sz w:val="48"/>
          <w:szCs w:val="48"/>
        </w:rPr>
      </w:pPr>
      <w:r>
        <w:rPr>
          <w:noProof/>
        </w:rPr>
        <mc:AlternateContent>
          <mc:Choice Requires="wps">
            <w:drawing>
              <wp:anchor distT="0" distB="0" distL="114300" distR="114300" simplePos="0" relativeHeight="251658240" behindDoc="0" locked="0" layoutInCell="1" hidden="0" allowOverlap="1" wp14:anchorId="23D7D411" wp14:editId="49EC1CA7">
                <wp:simplePos x="0" y="0"/>
                <wp:positionH relativeFrom="column">
                  <wp:posOffset>-914399</wp:posOffset>
                </wp:positionH>
                <wp:positionV relativeFrom="paragraph">
                  <wp:posOffset>-901699</wp:posOffset>
                </wp:positionV>
                <wp:extent cx="8178165" cy="885825"/>
                <wp:effectExtent l="0" t="0" r="0" b="0"/>
                <wp:wrapNone/>
                <wp:docPr id="47" name="Rectangle 47"/>
                <wp:cNvGraphicFramePr/>
                <a:graphic xmlns:a="http://schemas.openxmlformats.org/drawingml/2006/main">
                  <a:graphicData uri="http://schemas.microsoft.com/office/word/2010/wordprocessingShape">
                    <wps:wsp>
                      <wps:cNvSpPr/>
                      <wps:spPr>
                        <a:xfrm>
                          <a:off x="1261680" y="3341850"/>
                          <a:ext cx="8168640" cy="876300"/>
                        </a:xfrm>
                        <a:prstGeom prst="rect">
                          <a:avLst/>
                        </a:prstGeom>
                        <a:solidFill>
                          <a:srgbClr val="003398"/>
                        </a:solidFill>
                        <a:ln w="9525" cap="flat" cmpd="sng">
                          <a:solidFill>
                            <a:srgbClr val="003398"/>
                          </a:solidFill>
                          <a:prstDash val="solid"/>
                          <a:miter lim="800000"/>
                          <a:headEnd type="none" w="sm" len="sm"/>
                          <a:tailEnd type="none" w="sm" len="sm"/>
                        </a:ln>
                      </wps:spPr>
                      <wps:txbx>
                        <w:txbxContent>
                          <w:p w14:paraId="23D7D416" w14:textId="731BF658" w:rsidR="00ED3362" w:rsidRDefault="002D7F7B">
                            <w:pPr>
                              <w:spacing w:after="120" w:line="240" w:lineRule="auto"/>
                              <w:textDirection w:val="btLr"/>
                            </w:pPr>
                            <w:r>
                              <w:rPr>
                                <w:rFonts w:ascii="Verdana" w:eastAsia="Verdana" w:hAnsi="Verdana" w:cs="Verdana"/>
                                <w:b/>
                                <w:color w:val="FFFFFF"/>
                                <w:sz w:val="36"/>
                              </w:rPr>
                              <w:t>Sea-Intelligence – Press Release (</w:t>
                            </w:r>
                            <w:r w:rsidR="004C7464">
                              <w:rPr>
                                <w:rFonts w:ascii="Verdana" w:eastAsia="Verdana" w:hAnsi="Verdana" w:cs="Verdana"/>
                                <w:b/>
                                <w:color w:val="FFFFFF"/>
                                <w:sz w:val="36"/>
                              </w:rPr>
                              <w:t>Nov</w:t>
                            </w:r>
                            <w:r w:rsidR="00B32272">
                              <w:rPr>
                                <w:rFonts w:ascii="Verdana" w:eastAsia="Verdana" w:hAnsi="Verdana" w:cs="Verdana"/>
                                <w:b/>
                                <w:color w:val="FFFFFF"/>
                                <w:sz w:val="36"/>
                              </w:rPr>
                              <w:t xml:space="preserve"> </w:t>
                            </w:r>
                            <w:r w:rsidR="00117D82">
                              <w:rPr>
                                <w:rFonts w:ascii="Verdana" w:eastAsia="Verdana" w:hAnsi="Verdana" w:cs="Verdana"/>
                                <w:b/>
                                <w:color w:val="FFFFFF"/>
                                <w:sz w:val="36"/>
                              </w:rPr>
                              <w:t>9</w:t>
                            </w:r>
                            <w:r w:rsidR="00117D82">
                              <w:rPr>
                                <w:rFonts w:ascii="Verdana" w:eastAsia="Verdana" w:hAnsi="Verdana" w:cs="Verdana"/>
                                <w:b/>
                                <w:color w:val="FFFFFF"/>
                                <w:sz w:val="36"/>
                                <w:vertAlign w:val="superscript"/>
                              </w:rPr>
                              <w:t>th</w:t>
                            </w:r>
                            <w:r>
                              <w:rPr>
                                <w:rFonts w:ascii="Verdana" w:eastAsia="Verdana" w:hAnsi="Verdana" w:cs="Verdana"/>
                                <w:b/>
                                <w:color w:val="FFFFFF"/>
                                <w:sz w:val="36"/>
                              </w:rPr>
                              <w:t>, 2021)</w:t>
                            </w:r>
                          </w:p>
                          <w:p w14:paraId="23D7D417" w14:textId="77777777" w:rsidR="00ED3362" w:rsidRDefault="002D7F7B">
                            <w:pPr>
                              <w:spacing w:after="120" w:line="258" w:lineRule="auto"/>
                              <w:textDirection w:val="btLr"/>
                            </w:pPr>
                            <w:r>
                              <w:rPr>
                                <w:rFonts w:ascii="Verdana" w:eastAsia="Verdana" w:hAnsi="Verdana" w:cs="Verdana"/>
                                <w:color w:val="FFFFFF"/>
                                <w:sz w:val="32"/>
                                <w:u w:val="single"/>
                              </w:rPr>
                              <w:t>www.Sea-Intelligence.com</w:t>
                            </w:r>
                          </w:p>
                          <w:p w14:paraId="23D7D418" w14:textId="77777777" w:rsidR="00ED3362" w:rsidRDefault="00ED3362">
                            <w:pPr>
                              <w:spacing w:after="0" w:line="258" w:lineRule="auto"/>
                              <w:textDirection w:val="btLr"/>
                            </w:pPr>
                          </w:p>
                        </w:txbxContent>
                      </wps:txbx>
                      <wps:bodyPr spcFirstLastPara="1" wrap="square" lIns="914400" tIns="180000" rIns="228600" bIns="45700" anchor="ctr" anchorCtr="0">
                        <a:noAutofit/>
                      </wps:bodyPr>
                    </wps:wsp>
                  </a:graphicData>
                </a:graphic>
              </wp:anchor>
            </w:drawing>
          </mc:Choice>
          <mc:Fallback>
            <w:pict>
              <v:rect w14:anchorId="23D7D411" id="Rectangle 47" o:spid="_x0000_s1026" style="position:absolute;margin-left:-1in;margin-top:-71pt;width:643.95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" fillcolor="#003398" strokecolor="#003398">
                <v:stroke startarrowwidth="narrow" startarrowlength="short" endarrowwidth="narrow" endarrowlength="short"/>
                <v:textbox inset="1in,5mm,18pt,1.2694mm">
                  <w:txbxContent>
                    <w:p w14:paraId="23D7D416" w14:textId="731BF658" w:rsidR="00ED3362" w:rsidRDefault="002D7F7B">
                      <w:pPr>
                        <w:spacing w:after="120" w:line="240" w:lineRule="auto"/>
                        <w:textDirection w:val="btLr"/>
                      </w:pPr>
                      <w:r>
                        <w:rPr>
                          <w:rFonts w:ascii="Verdana" w:eastAsia="Verdana" w:hAnsi="Verdana" w:cs="Verdana"/>
                          <w:b/>
                          <w:color w:val="FFFFFF"/>
                          <w:sz w:val="36"/>
                        </w:rPr>
                        <w:t>Sea-Intelligence – Press Release (</w:t>
                      </w:r>
                      <w:r w:rsidR="004C7464">
                        <w:rPr>
                          <w:rFonts w:ascii="Verdana" w:eastAsia="Verdana" w:hAnsi="Verdana" w:cs="Verdana"/>
                          <w:b/>
                          <w:color w:val="FFFFFF"/>
                          <w:sz w:val="36"/>
                        </w:rPr>
                        <w:t>Nov</w:t>
                      </w:r>
                      <w:r w:rsidR="00B32272">
                        <w:rPr>
                          <w:rFonts w:ascii="Verdana" w:eastAsia="Verdana" w:hAnsi="Verdana" w:cs="Verdana"/>
                          <w:b/>
                          <w:color w:val="FFFFFF"/>
                          <w:sz w:val="36"/>
                        </w:rPr>
                        <w:t xml:space="preserve"> </w:t>
                      </w:r>
                      <w:r w:rsidR="00117D82">
                        <w:rPr>
                          <w:rFonts w:ascii="Verdana" w:eastAsia="Verdana" w:hAnsi="Verdana" w:cs="Verdana"/>
                          <w:b/>
                          <w:color w:val="FFFFFF"/>
                          <w:sz w:val="36"/>
                        </w:rPr>
                        <w:t>9</w:t>
                      </w:r>
                      <w:r w:rsidR="00117D82">
                        <w:rPr>
                          <w:rFonts w:ascii="Verdana" w:eastAsia="Verdana" w:hAnsi="Verdana" w:cs="Verdana"/>
                          <w:b/>
                          <w:color w:val="FFFFFF"/>
                          <w:sz w:val="36"/>
                          <w:vertAlign w:val="superscript"/>
                        </w:rPr>
                        <w:t>th</w:t>
                      </w:r>
                      <w:r>
                        <w:rPr>
                          <w:rFonts w:ascii="Verdana" w:eastAsia="Verdana" w:hAnsi="Verdana" w:cs="Verdana"/>
                          <w:b/>
                          <w:color w:val="FFFFFF"/>
                          <w:sz w:val="36"/>
                        </w:rPr>
                        <w:t>, 2021)</w:t>
                      </w:r>
                    </w:p>
                    <w:p w14:paraId="23D7D417" w14:textId="77777777" w:rsidR="00ED3362" w:rsidRDefault="002D7F7B">
                      <w:pPr>
                        <w:spacing w:after="120" w:line="258" w:lineRule="auto"/>
                        <w:textDirection w:val="btLr"/>
                      </w:pPr>
                      <w:r>
                        <w:rPr>
                          <w:rFonts w:ascii="Verdana" w:eastAsia="Verdana" w:hAnsi="Verdana" w:cs="Verdana"/>
                          <w:color w:val="FFFFFF"/>
                          <w:sz w:val="32"/>
                          <w:u w:val="single"/>
                        </w:rPr>
                        <w:t>www.Sea-Intelligence.com</w:t>
                      </w:r>
                    </w:p>
                    <w:p w14:paraId="23D7D418" w14:textId="77777777" w:rsidR="00ED3362" w:rsidRDefault="00ED3362">
                      <w:pPr>
                        <w:spacing w:after="0" w:line="258" w:lineRule="auto"/>
                        <w:textDirection w:val="btLr"/>
                      </w:pPr>
                    </w:p>
                  </w:txbxContent>
                </v:textbox>
              </v:rect>
            </w:pict>
          </mc:Fallback>
        </mc:AlternateContent>
      </w:r>
      <w:r w:rsidR="00117D82">
        <w:rPr>
          <w:rFonts w:ascii="Khmer" w:eastAsia="Khmer" w:hAnsi="Khmer" w:cs="Khmer"/>
          <w:b/>
          <w:sz w:val="48"/>
          <w:szCs w:val="48"/>
        </w:rPr>
        <w:t>US goods consumption continues to grow</w:t>
      </w:r>
    </w:p>
    <w:p w14:paraId="42E592E4" w14:textId="134A7610" w:rsidR="00CD33BE" w:rsidRDefault="008966F2" w:rsidP="001F5452">
      <w:pPr>
        <w:spacing w:after="120" w:line="336" w:lineRule="auto"/>
        <w:jc w:val="both"/>
        <w:rPr>
          <w:rFonts w:ascii="Verdana" w:eastAsia="Verdana" w:hAnsi="Verdana" w:cs="Verdana"/>
        </w:rPr>
      </w:pPr>
      <w:r>
        <w:rPr>
          <w:rFonts w:ascii="Verdana" w:eastAsia="Verdana" w:hAnsi="Verdana" w:cs="Verdana"/>
        </w:rPr>
        <w:t xml:space="preserve">In issue </w:t>
      </w:r>
      <w:r w:rsidR="004C7464">
        <w:rPr>
          <w:rFonts w:ascii="Verdana" w:eastAsia="Verdana" w:hAnsi="Verdana" w:cs="Verdana"/>
        </w:rPr>
        <w:t>53</w:t>
      </w:r>
      <w:r w:rsidR="00117D82">
        <w:rPr>
          <w:rFonts w:ascii="Verdana" w:eastAsia="Verdana" w:hAnsi="Verdana" w:cs="Verdana"/>
        </w:rPr>
        <w:t xml:space="preserve">9 of the </w:t>
      </w:r>
      <w:r w:rsidR="00117D82">
        <w:rPr>
          <w:rFonts w:ascii="Verdana" w:eastAsia="Verdana" w:hAnsi="Verdana" w:cs="Verdana"/>
          <w:i/>
          <w:iCs/>
        </w:rPr>
        <w:t>Sunday Spotlight</w:t>
      </w:r>
      <w:r w:rsidR="00117D82">
        <w:rPr>
          <w:rFonts w:ascii="Verdana" w:eastAsia="Verdana" w:hAnsi="Verdana" w:cs="Verdana"/>
        </w:rPr>
        <w:t xml:space="preserve">, we analysed the US consumption data for September 2021, released by the US Bureau of Economic Analysis (BEA). </w:t>
      </w:r>
    </w:p>
    <w:p w14:paraId="74D05FBD" w14:textId="38476CDC" w:rsidR="00117D82" w:rsidRDefault="00117D82" w:rsidP="001F5452">
      <w:pPr>
        <w:spacing w:after="120" w:line="336" w:lineRule="auto"/>
        <w:jc w:val="both"/>
        <w:rPr>
          <w:rFonts w:ascii="Verdana" w:eastAsia="Verdana" w:hAnsi="Verdana" w:cs="Verdana"/>
        </w:rPr>
      </w:pPr>
      <w:r>
        <w:rPr>
          <w:rFonts w:ascii="Verdana" w:eastAsia="Verdana" w:hAnsi="Verdana" w:cs="Verdana"/>
        </w:rPr>
        <w:t>Growth in personal consumption reversed back to pre-pandemic level</w:t>
      </w:r>
      <w:r w:rsidR="00F43E82">
        <w:rPr>
          <w:rFonts w:ascii="Verdana" w:eastAsia="Verdana" w:hAnsi="Verdana" w:cs="Verdana"/>
        </w:rPr>
        <w:t xml:space="preserve"> in September 2021</w:t>
      </w:r>
      <w:r>
        <w:rPr>
          <w:rFonts w:ascii="Verdana" w:eastAsia="Verdana" w:hAnsi="Verdana" w:cs="Verdana"/>
        </w:rPr>
        <w:t xml:space="preserve">, however, when we look at a breakdown, we see that growth in consumption of goods is </w:t>
      </w:r>
      <w:r w:rsidR="00F57484">
        <w:rPr>
          <w:rFonts w:ascii="Verdana" w:eastAsia="Verdana" w:hAnsi="Verdana" w:cs="Verdana"/>
          <w:lang w:val="en-DK"/>
        </w:rPr>
        <w:t xml:space="preserve">still </w:t>
      </w:r>
      <w:r>
        <w:rPr>
          <w:rFonts w:ascii="Verdana" w:eastAsia="Verdana" w:hAnsi="Verdana" w:cs="Verdana"/>
        </w:rPr>
        <w:t xml:space="preserve">fast outpacing that </w:t>
      </w:r>
      <w:r w:rsidR="004266C1">
        <w:rPr>
          <w:rFonts w:ascii="Verdana" w:eastAsia="Verdana" w:hAnsi="Verdana" w:cs="Verdana"/>
        </w:rPr>
        <w:t xml:space="preserve">of </w:t>
      </w:r>
      <w:r>
        <w:rPr>
          <w:rFonts w:ascii="Verdana" w:eastAsia="Verdana" w:hAnsi="Verdana" w:cs="Verdana"/>
        </w:rPr>
        <w:t>services.</w:t>
      </w:r>
      <w:r w:rsidR="00CD33BE">
        <w:rPr>
          <w:rFonts w:ascii="Verdana" w:eastAsia="Verdana" w:hAnsi="Verdana" w:cs="Verdana"/>
        </w:rPr>
        <w:t xml:space="preserve"> Breaking </w:t>
      </w:r>
      <w:r w:rsidR="00F57484">
        <w:rPr>
          <w:rFonts w:ascii="Verdana" w:eastAsia="Verdana" w:hAnsi="Verdana" w:cs="Verdana"/>
          <w:lang w:val="en-DK"/>
        </w:rPr>
        <w:t xml:space="preserve">it </w:t>
      </w:r>
      <w:r w:rsidR="00CD33BE">
        <w:rPr>
          <w:rFonts w:ascii="Verdana" w:eastAsia="Verdana" w:hAnsi="Verdana" w:cs="Verdana"/>
        </w:rPr>
        <w:t>down further, we see a gradual increase in growth levels for nondurable goods</w:t>
      </w:r>
      <w:r w:rsidR="004266C1">
        <w:rPr>
          <w:rFonts w:ascii="Verdana" w:eastAsia="Verdana" w:hAnsi="Verdana" w:cs="Verdana"/>
        </w:rPr>
        <w:t>.</w:t>
      </w:r>
      <w:r w:rsidR="00CD33BE">
        <w:rPr>
          <w:rFonts w:ascii="Verdana" w:eastAsia="Verdana" w:hAnsi="Verdana" w:cs="Verdana"/>
        </w:rPr>
        <w:t xml:space="preserve"> </w:t>
      </w:r>
      <w:r w:rsidR="004266C1">
        <w:rPr>
          <w:rFonts w:ascii="Verdana" w:eastAsia="Verdana" w:hAnsi="Verdana" w:cs="Verdana"/>
        </w:rPr>
        <w:t xml:space="preserve">On the other hand, we see </w:t>
      </w:r>
      <w:r w:rsidR="00CD33BE">
        <w:rPr>
          <w:rFonts w:ascii="Verdana" w:eastAsia="Verdana" w:hAnsi="Verdana" w:cs="Verdana"/>
        </w:rPr>
        <w:t>a spike in early 2021 followed by declining growth levels for durable goods, albeit to only a little under 10%.</w:t>
      </w:r>
    </w:p>
    <w:p w14:paraId="6AABECBC" w14:textId="1E449F16" w:rsidR="004266C1" w:rsidRDefault="00F57484" w:rsidP="001F5452">
      <w:pPr>
        <w:spacing w:after="120" w:line="336" w:lineRule="auto"/>
        <w:jc w:val="both"/>
        <w:rPr>
          <w:rFonts w:ascii="Verdana" w:eastAsia="Verdana" w:hAnsi="Verdana" w:cs="Verdana"/>
        </w:rPr>
      </w:pPr>
      <w:r>
        <w:rPr>
          <w:rFonts w:ascii="Verdana" w:eastAsia="Verdana" w:hAnsi="Verdana" w:cs="Verdana"/>
          <w:lang w:val="en-DK"/>
        </w:rPr>
        <w:t>W</w:t>
      </w:r>
      <w:proofErr w:type="spellStart"/>
      <w:r w:rsidR="00CD33BE">
        <w:rPr>
          <w:rFonts w:ascii="Verdana" w:eastAsia="Verdana" w:hAnsi="Verdana" w:cs="Verdana"/>
        </w:rPr>
        <w:t>e</w:t>
      </w:r>
      <w:proofErr w:type="spellEnd"/>
      <w:r w:rsidR="00CD33BE">
        <w:rPr>
          <w:rFonts w:ascii="Verdana" w:eastAsia="Verdana" w:hAnsi="Verdana" w:cs="Verdana"/>
        </w:rPr>
        <w:t xml:space="preserve"> then continue</w:t>
      </w:r>
      <w:r w:rsidR="00F43E82">
        <w:rPr>
          <w:rFonts w:ascii="Verdana" w:eastAsia="Verdana" w:hAnsi="Verdana" w:cs="Verdana"/>
        </w:rPr>
        <w:t>d</w:t>
      </w:r>
      <w:r w:rsidR="00CD33BE">
        <w:rPr>
          <w:rFonts w:ascii="Verdana" w:eastAsia="Verdana" w:hAnsi="Verdana" w:cs="Verdana"/>
        </w:rPr>
        <w:t xml:space="preserve"> to look at the subcategories </w:t>
      </w:r>
      <w:r w:rsidR="004266C1">
        <w:rPr>
          <w:rFonts w:ascii="Verdana" w:eastAsia="Verdana" w:hAnsi="Verdana" w:cs="Verdana"/>
        </w:rPr>
        <w:t xml:space="preserve">to see </w:t>
      </w:r>
      <w:r w:rsidR="00CD33BE">
        <w:rPr>
          <w:rFonts w:ascii="Verdana" w:eastAsia="Verdana" w:hAnsi="Verdana" w:cs="Verdana"/>
        </w:rPr>
        <w:t xml:space="preserve">the major </w:t>
      </w:r>
      <w:r w:rsidR="00F43E82">
        <w:rPr>
          <w:rFonts w:ascii="Verdana" w:eastAsia="Verdana" w:hAnsi="Verdana" w:cs="Verdana"/>
        </w:rPr>
        <w:t xml:space="preserve">demand </w:t>
      </w:r>
      <w:r w:rsidR="00CD33BE">
        <w:rPr>
          <w:rFonts w:ascii="Verdana" w:eastAsia="Verdana" w:hAnsi="Verdana" w:cs="Verdana"/>
        </w:rPr>
        <w:t>drivers.</w:t>
      </w:r>
      <w:r w:rsidR="004266C1">
        <w:rPr>
          <w:rFonts w:ascii="Verdana" w:eastAsia="Verdana" w:hAnsi="Verdana" w:cs="Verdana"/>
        </w:rPr>
        <w:t xml:space="preserve"> One of the highest growing subcategories </w:t>
      </w:r>
      <w:r>
        <w:rPr>
          <w:rFonts w:ascii="Verdana" w:eastAsia="Verdana" w:hAnsi="Verdana" w:cs="Verdana"/>
          <w:lang w:val="en-DK"/>
        </w:rPr>
        <w:t>is Furniture, as</w:t>
      </w:r>
      <w:r w:rsidR="004266C1">
        <w:rPr>
          <w:rFonts w:ascii="Verdana" w:eastAsia="Verdana" w:hAnsi="Verdana" w:cs="Verdana"/>
        </w:rPr>
        <w:t xml:space="preserve"> shown in figure 1. </w:t>
      </w:r>
    </w:p>
    <w:p w14:paraId="5D477AC8" w14:textId="28BA1B94" w:rsidR="00CD33BE" w:rsidRDefault="00F43E82" w:rsidP="001F5452">
      <w:pPr>
        <w:spacing w:after="120" w:line="336" w:lineRule="auto"/>
        <w:jc w:val="both"/>
        <w:rPr>
          <w:rFonts w:ascii="Verdana" w:eastAsia="Verdana" w:hAnsi="Verdana" w:cs="Verdana"/>
        </w:rPr>
      </w:pPr>
      <w:r w:rsidRPr="00F43E82">
        <w:rPr>
          <w:noProof/>
        </w:rPr>
        <w:drawing>
          <wp:anchor distT="0" distB="0" distL="114300" distR="114300" simplePos="0" relativeHeight="251659264" behindDoc="0" locked="0" layoutInCell="1" allowOverlap="1" wp14:anchorId="4C855517" wp14:editId="6F41C436">
            <wp:simplePos x="0" y="0"/>
            <wp:positionH relativeFrom="margin">
              <wp:align>left</wp:align>
            </wp:positionH>
            <wp:positionV relativeFrom="paragraph">
              <wp:posOffset>17871</wp:posOffset>
            </wp:positionV>
            <wp:extent cx="2677795" cy="2592705"/>
            <wp:effectExtent l="0" t="0" r="8255" b="0"/>
            <wp:wrapThrough wrapText="bothSides">
              <wp:wrapPolygon edited="0">
                <wp:start x="0" y="0"/>
                <wp:lineTo x="0" y="21425"/>
                <wp:lineTo x="21513" y="21425"/>
                <wp:lineTo x="21513" y="0"/>
                <wp:lineTo x="0" y="0"/>
              </wp:wrapPolygon>
            </wp:wrapThrough>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77795" cy="2592705"/>
                    </a:xfrm>
                    <a:prstGeom prst="rect">
                      <a:avLst/>
                    </a:prstGeom>
                  </pic:spPr>
                </pic:pic>
              </a:graphicData>
            </a:graphic>
            <wp14:sizeRelH relativeFrom="margin">
              <wp14:pctWidth>0</wp14:pctWidth>
            </wp14:sizeRelH>
            <wp14:sizeRelV relativeFrom="margin">
              <wp14:pctHeight>0</wp14:pctHeight>
            </wp14:sizeRelV>
          </wp:anchor>
        </w:drawing>
      </w:r>
      <w:r w:rsidR="004266C1" w:rsidRPr="004266C1">
        <w:rPr>
          <w:rFonts w:ascii="Verdana" w:eastAsia="Verdana" w:hAnsi="Verdana" w:cs="Verdana"/>
        </w:rPr>
        <w:t xml:space="preserve">These components take up a significant portion of container volumes, and the continued high level of growth in all these categories is one of the major drivers of the continued boom in </w:t>
      </w:r>
      <w:r w:rsidR="00F57484">
        <w:rPr>
          <w:rFonts w:ascii="Verdana" w:eastAsia="Verdana" w:hAnsi="Verdana" w:cs="Verdana"/>
          <w:lang w:val="en-DK"/>
        </w:rPr>
        <w:t xml:space="preserve">North American import </w:t>
      </w:r>
      <w:r w:rsidR="004266C1" w:rsidRPr="004266C1">
        <w:rPr>
          <w:rFonts w:ascii="Verdana" w:eastAsia="Verdana" w:hAnsi="Verdana" w:cs="Verdana"/>
        </w:rPr>
        <w:t>volumes.</w:t>
      </w:r>
      <w:r w:rsidR="004266C1">
        <w:rPr>
          <w:rFonts w:ascii="Verdana" w:eastAsia="Verdana" w:hAnsi="Verdana" w:cs="Verdana"/>
        </w:rPr>
        <w:t xml:space="preserve"> </w:t>
      </w:r>
      <w:r w:rsidR="004266C1" w:rsidRPr="004266C1">
        <w:rPr>
          <w:rFonts w:ascii="Verdana" w:eastAsia="Verdana" w:hAnsi="Verdana" w:cs="Verdana"/>
        </w:rPr>
        <w:t>The data does seem to indicate that the furniture component is a slightly leading indicator for the three other components</w:t>
      </w:r>
      <w:r>
        <w:rPr>
          <w:rFonts w:ascii="Verdana" w:eastAsia="Verdana" w:hAnsi="Verdana" w:cs="Verdana"/>
        </w:rPr>
        <w:t>,</w:t>
      </w:r>
      <w:r w:rsidR="004266C1" w:rsidRPr="004266C1">
        <w:rPr>
          <w:rFonts w:ascii="Verdana" w:eastAsia="Verdana" w:hAnsi="Verdana" w:cs="Verdana"/>
        </w:rPr>
        <w:t xml:space="preserve"> </w:t>
      </w:r>
      <w:r>
        <w:rPr>
          <w:rFonts w:ascii="Verdana" w:eastAsia="Verdana" w:hAnsi="Verdana" w:cs="Verdana"/>
        </w:rPr>
        <w:t>i</w:t>
      </w:r>
      <w:r w:rsidR="004266C1" w:rsidRPr="004266C1">
        <w:rPr>
          <w:rFonts w:ascii="Verdana" w:eastAsia="Verdana" w:hAnsi="Verdana" w:cs="Verdana"/>
        </w:rPr>
        <w:t>.e. it appears the average consumer first procures new furniture and only thereafter</w:t>
      </w:r>
      <w:r w:rsidR="00F57484">
        <w:rPr>
          <w:rFonts w:ascii="Verdana" w:eastAsia="Verdana" w:hAnsi="Verdana" w:cs="Verdana"/>
          <w:lang w:val="en-DK"/>
        </w:rPr>
        <w:t>,</w:t>
      </w:r>
      <w:r w:rsidR="004266C1" w:rsidRPr="004266C1">
        <w:rPr>
          <w:rFonts w:ascii="Verdana" w:eastAsia="Verdana" w:hAnsi="Verdana" w:cs="Verdana"/>
        </w:rPr>
        <w:t xml:space="preserve"> with a slight time delay</w:t>
      </w:r>
      <w:r w:rsidR="00F57484">
        <w:rPr>
          <w:rFonts w:ascii="Verdana" w:eastAsia="Verdana" w:hAnsi="Verdana" w:cs="Verdana"/>
          <w:lang w:val="en-DK"/>
        </w:rPr>
        <w:t>,</w:t>
      </w:r>
      <w:r w:rsidR="004266C1" w:rsidRPr="004266C1">
        <w:rPr>
          <w:rFonts w:ascii="Verdana" w:eastAsia="Verdana" w:hAnsi="Verdana" w:cs="Verdana"/>
        </w:rPr>
        <w:t xml:space="preserve"> augments the new purchase with carpets, lamps, window coverings, etc. If this link continues going forward, it means that we should now begin to see growth rates for these other furniture components decline, as the furniture </w:t>
      </w:r>
      <w:r w:rsidR="00F57484">
        <w:rPr>
          <w:rFonts w:ascii="Verdana" w:eastAsia="Verdana" w:hAnsi="Verdana" w:cs="Verdana"/>
          <w:lang w:val="en-DK"/>
        </w:rPr>
        <w:t xml:space="preserve">category </w:t>
      </w:r>
      <w:r w:rsidR="004266C1" w:rsidRPr="004266C1">
        <w:rPr>
          <w:rFonts w:ascii="Verdana" w:eastAsia="Verdana" w:hAnsi="Verdana" w:cs="Verdana"/>
        </w:rPr>
        <w:t>itself has indeed seen a declining growth trend over 2021.</w:t>
      </w:r>
    </w:p>
    <w:p w14:paraId="54728C88" w14:textId="37352D7E" w:rsidR="004266C1" w:rsidRPr="00CD33BE" w:rsidRDefault="00F43E82" w:rsidP="001F5452">
      <w:pPr>
        <w:spacing w:after="120" w:line="336" w:lineRule="auto"/>
        <w:jc w:val="both"/>
        <w:rPr>
          <w:rFonts w:ascii="Verdana" w:eastAsia="Verdana" w:hAnsi="Verdana" w:cs="Verdana"/>
        </w:rPr>
      </w:pPr>
      <w:r>
        <w:rPr>
          <w:rFonts w:ascii="Verdana" w:eastAsia="Verdana" w:hAnsi="Verdana" w:cs="Verdana"/>
        </w:rPr>
        <w:t xml:space="preserve">The </w:t>
      </w:r>
      <w:r w:rsidR="004266C1" w:rsidRPr="004266C1">
        <w:rPr>
          <w:rFonts w:ascii="Verdana" w:eastAsia="Verdana" w:hAnsi="Verdana" w:cs="Verdana"/>
        </w:rPr>
        <w:t>consumption boom driving container volumes showed no signs of abating in September. Whilst there was some element of decline in the growth rate, this was to a large degree driven by motor vehicles and not by typically containerised consumer commodities. There is a trend of shifting from durable to non-durable goods though, but that does not materially alter the boom in container volumes either. This means we should not expect a decline in demand to “rescue” the congestion and bottleneck situation, in the short to medium term.</w:t>
      </w:r>
      <w:r w:rsidR="004266C1">
        <w:rPr>
          <w:rFonts w:ascii="Verdana" w:eastAsia="Verdana" w:hAnsi="Verdana" w:cs="Verdana"/>
        </w:rPr>
        <w:t xml:space="preserve"> </w:t>
      </w:r>
    </w:p>
    <w:p w14:paraId="23D7D40F" w14:textId="1EA05ADC" w:rsidR="00ED3362" w:rsidRDefault="002D7F7B" w:rsidP="000D437A">
      <w:pPr>
        <w:spacing w:after="120" w:line="336" w:lineRule="auto"/>
        <w:jc w:val="center"/>
        <w:rPr>
          <w:rFonts w:ascii="Verdana" w:eastAsia="Verdana" w:hAnsi="Verdana" w:cs="Verdana"/>
        </w:rPr>
      </w:pPr>
      <w:r>
        <w:rPr>
          <w:rFonts w:ascii="Verdana" w:eastAsia="Verdana" w:hAnsi="Verdana" w:cs="Verdana"/>
        </w:rPr>
        <w:t>--- 000 --- END OF PRESS RELEASE --- 000 ---</w:t>
      </w:r>
    </w:p>
    <w:p w14:paraId="23D7D410" w14:textId="579591D7" w:rsidR="00ED3362" w:rsidRDefault="002D7F7B" w:rsidP="000D437A">
      <w:pPr>
        <w:spacing w:after="120" w:line="336" w:lineRule="auto"/>
        <w:rPr>
          <w:rFonts w:ascii="Verdana" w:eastAsia="Verdana" w:hAnsi="Verdana" w:cs="Verdana"/>
          <w:sz w:val="21"/>
          <w:szCs w:val="21"/>
        </w:rPr>
      </w:pPr>
      <w:r>
        <w:rPr>
          <w:rFonts w:ascii="Verdana" w:eastAsia="Verdana" w:hAnsi="Verdana" w:cs="Verdana"/>
          <w:sz w:val="21"/>
          <w:szCs w:val="21"/>
        </w:rPr>
        <w:t>All quotes can be attributed to: Alan Murphy, CEO, Sea-Intelligence.</w:t>
      </w:r>
      <w:r>
        <w:rPr>
          <w:rFonts w:ascii="Verdana" w:eastAsia="Verdana" w:hAnsi="Verdana" w:cs="Verdana"/>
          <w:sz w:val="21"/>
          <w:szCs w:val="21"/>
        </w:rPr>
        <w:br/>
        <w:t xml:space="preserve">For more information, please contact: </w:t>
      </w:r>
      <w:hyperlink r:id="rId10" w:history="1">
        <w:r w:rsidR="00617E94" w:rsidRPr="008563D5">
          <w:rPr>
            <w:rStyle w:val="Hyperlink"/>
            <w:rFonts w:ascii="Verdana" w:eastAsia="Verdana" w:hAnsi="Verdana" w:cs="Verdana"/>
            <w:sz w:val="21"/>
            <w:szCs w:val="21"/>
          </w:rPr>
          <w:t>ia@sea-intelligence.com</w:t>
        </w:r>
      </w:hyperlink>
      <w:r>
        <w:rPr>
          <w:rFonts w:ascii="Verdana" w:eastAsia="Verdana" w:hAnsi="Verdana" w:cs="Verdana"/>
          <w:sz w:val="21"/>
          <w:szCs w:val="21"/>
        </w:rPr>
        <w:t xml:space="preserve">, </w:t>
      </w:r>
      <w:hyperlink r:id="rId11">
        <w:r>
          <w:rPr>
            <w:rFonts w:ascii="Verdana" w:eastAsia="Verdana" w:hAnsi="Verdana" w:cs="Verdana"/>
            <w:color w:val="0563C1"/>
            <w:sz w:val="21"/>
            <w:szCs w:val="21"/>
            <w:u w:val="single"/>
          </w:rPr>
          <w:t>am@sea-intelligence.com</w:t>
        </w:r>
      </w:hyperlink>
    </w:p>
    <w:sectPr w:rsidR="00ED3362">
      <w:footerReference w:type="default" r:id="rId12"/>
      <w:pgSz w:w="12240" w:h="15840"/>
      <w:pgMar w:top="1440" w:right="900" w:bottom="1440" w:left="1134" w:header="720" w:footer="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6677" w14:textId="77777777" w:rsidR="00181AA3" w:rsidRDefault="00181AA3">
      <w:pPr>
        <w:spacing w:after="0" w:line="240" w:lineRule="auto"/>
      </w:pPr>
      <w:r>
        <w:separator/>
      </w:r>
    </w:p>
  </w:endnote>
  <w:endnote w:type="continuationSeparator" w:id="0">
    <w:p w14:paraId="70A4A49F" w14:textId="77777777" w:rsidR="00181AA3" w:rsidRDefault="0018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hme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D415" w14:textId="77777777" w:rsidR="00ED3362" w:rsidRDefault="002D7F7B">
    <w:pPr>
      <w:shd w:val="clear" w:color="auto" w:fill="FFFFFF"/>
      <w:spacing w:after="300" w:line="240" w:lineRule="auto"/>
      <w:jc w:val="both"/>
      <w:rPr>
        <w:rFonts w:ascii="Khmer" w:eastAsia="Khmer" w:hAnsi="Khmer" w:cs="Khmer"/>
        <w:color w:val="404040"/>
        <w:sz w:val="21"/>
        <w:szCs w:val="21"/>
      </w:rPr>
    </w:pPr>
    <w:r>
      <w:rPr>
        <w:rFonts w:ascii="Khmer" w:eastAsia="Khmer" w:hAnsi="Khmer" w:cs="Khmer"/>
        <w:color w:val="404040"/>
        <w:sz w:val="21"/>
        <w:szCs w:val="21"/>
      </w:rPr>
      <w:t>Sea</w:t>
    </w:r>
    <w:r>
      <w:rPr>
        <w:rFonts w:ascii="Cambria Math" w:eastAsia="Cambria Math" w:hAnsi="Cambria Math" w:cs="Cambria Math"/>
        <w:color w:val="404040"/>
        <w:sz w:val="21"/>
        <w:szCs w:val="21"/>
      </w:rPr>
      <w:t>‑</w:t>
    </w:r>
    <w:r>
      <w:rPr>
        <w:rFonts w:ascii="Khmer" w:eastAsia="Khmer" w:hAnsi="Khmer" w:cs="Khmer"/>
        <w:color w:val="404040"/>
        <w:sz w:val="21"/>
        <w:szCs w:val="21"/>
      </w:rPr>
      <w:t>Intelligence is a leading provider of Research &amp; Analysis, Data Services, and Advisory Services within the global supply chain industry, with a strong focus on container shipping. Combining strong quantitative analytical skills with a deep understanding of the supply chain industry, based on many decades of experience at all central parts of the Ocean supply chain, Sea</w:t>
    </w:r>
    <w:r>
      <w:rPr>
        <w:rFonts w:ascii="Cambria Math" w:eastAsia="Cambria Math" w:hAnsi="Cambria Math" w:cs="Cambria Math"/>
        <w:color w:val="404040"/>
        <w:sz w:val="21"/>
        <w:szCs w:val="21"/>
      </w:rPr>
      <w:t>‑</w:t>
    </w:r>
    <w:r>
      <w:rPr>
        <w:rFonts w:ascii="Khmer" w:eastAsia="Khmer" w:hAnsi="Khmer" w:cs="Khmer"/>
        <w:color w:val="404040"/>
        <w:sz w:val="21"/>
        <w:szCs w:val="21"/>
      </w:rPr>
      <w:t>Intelligence supports customers across all stakeholder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ACEC" w14:textId="77777777" w:rsidR="00181AA3" w:rsidRDefault="00181AA3">
      <w:pPr>
        <w:spacing w:after="0" w:line="240" w:lineRule="auto"/>
      </w:pPr>
      <w:r>
        <w:separator/>
      </w:r>
    </w:p>
  </w:footnote>
  <w:footnote w:type="continuationSeparator" w:id="0">
    <w:p w14:paraId="7A30D282" w14:textId="77777777" w:rsidR="00181AA3" w:rsidRDefault="00181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44D"/>
    <w:multiLevelType w:val="hybridMultilevel"/>
    <w:tmpl w:val="F3EAFCA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62"/>
    <w:rsid w:val="000138EF"/>
    <w:rsid w:val="000145DC"/>
    <w:rsid w:val="000302B4"/>
    <w:rsid w:val="00031B77"/>
    <w:rsid w:val="000339E2"/>
    <w:rsid w:val="000356E3"/>
    <w:rsid w:val="00057FCB"/>
    <w:rsid w:val="000656BF"/>
    <w:rsid w:val="0009250C"/>
    <w:rsid w:val="0009731F"/>
    <w:rsid w:val="000B0305"/>
    <w:rsid w:val="000D437A"/>
    <w:rsid w:val="00117D82"/>
    <w:rsid w:val="001249B8"/>
    <w:rsid w:val="00134A93"/>
    <w:rsid w:val="001761B3"/>
    <w:rsid w:val="00176AF7"/>
    <w:rsid w:val="00181AA3"/>
    <w:rsid w:val="00191469"/>
    <w:rsid w:val="00194A1C"/>
    <w:rsid w:val="001D1960"/>
    <w:rsid w:val="001E21B5"/>
    <w:rsid w:val="001F5452"/>
    <w:rsid w:val="00206446"/>
    <w:rsid w:val="0021474D"/>
    <w:rsid w:val="0022026B"/>
    <w:rsid w:val="002272D6"/>
    <w:rsid w:val="00242583"/>
    <w:rsid w:val="00256DEC"/>
    <w:rsid w:val="00257E31"/>
    <w:rsid w:val="002754A3"/>
    <w:rsid w:val="00287B13"/>
    <w:rsid w:val="0029224A"/>
    <w:rsid w:val="002964A2"/>
    <w:rsid w:val="002A5663"/>
    <w:rsid w:val="002A645D"/>
    <w:rsid w:val="002B3CEB"/>
    <w:rsid w:val="002D7F7B"/>
    <w:rsid w:val="002E5EEE"/>
    <w:rsid w:val="00314039"/>
    <w:rsid w:val="00341A4E"/>
    <w:rsid w:val="00345801"/>
    <w:rsid w:val="00352640"/>
    <w:rsid w:val="00374ED7"/>
    <w:rsid w:val="00383D4F"/>
    <w:rsid w:val="0038639D"/>
    <w:rsid w:val="0039083A"/>
    <w:rsid w:val="003A550B"/>
    <w:rsid w:val="003C78A9"/>
    <w:rsid w:val="003D0ED2"/>
    <w:rsid w:val="003D185A"/>
    <w:rsid w:val="003E0ACD"/>
    <w:rsid w:val="003E14A9"/>
    <w:rsid w:val="003F67B1"/>
    <w:rsid w:val="003F7262"/>
    <w:rsid w:val="00402019"/>
    <w:rsid w:val="004266C1"/>
    <w:rsid w:val="00445291"/>
    <w:rsid w:val="00477FF9"/>
    <w:rsid w:val="004806C1"/>
    <w:rsid w:val="0049654D"/>
    <w:rsid w:val="004A160F"/>
    <w:rsid w:val="004A4DB6"/>
    <w:rsid w:val="004A6D1C"/>
    <w:rsid w:val="004B42A5"/>
    <w:rsid w:val="004C7464"/>
    <w:rsid w:val="00505109"/>
    <w:rsid w:val="00512813"/>
    <w:rsid w:val="00513B43"/>
    <w:rsid w:val="00517F68"/>
    <w:rsid w:val="00531B94"/>
    <w:rsid w:val="00536B04"/>
    <w:rsid w:val="0054023B"/>
    <w:rsid w:val="00542CDC"/>
    <w:rsid w:val="005546D2"/>
    <w:rsid w:val="00567542"/>
    <w:rsid w:val="00570B84"/>
    <w:rsid w:val="0057220B"/>
    <w:rsid w:val="00574EF3"/>
    <w:rsid w:val="0057562D"/>
    <w:rsid w:val="0059150D"/>
    <w:rsid w:val="0059172E"/>
    <w:rsid w:val="005D33F4"/>
    <w:rsid w:val="00617E94"/>
    <w:rsid w:val="00620847"/>
    <w:rsid w:val="006267B7"/>
    <w:rsid w:val="00627B34"/>
    <w:rsid w:val="00633029"/>
    <w:rsid w:val="00652139"/>
    <w:rsid w:val="00652830"/>
    <w:rsid w:val="00664511"/>
    <w:rsid w:val="006650A5"/>
    <w:rsid w:val="006919AD"/>
    <w:rsid w:val="006C0C9B"/>
    <w:rsid w:val="006C68EA"/>
    <w:rsid w:val="006D5052"/>
    <w:rsid w:val="006D6AD0"/>
    <w:rsid w:val="00701666"/>
    <w:rsid w:val="0072601B"/>
    <w:rsid w:val="0075413B"/>
    <w:rsid w:val="00773291"/>
    <w:rsid w:val="007820BD"/>
    <w:rsid w:val="007A0E85"/>
    <w:rsid w:val="007A70C0"/>
    <w:rsid w:val="007B61DD"/>
    <w:rsid w:val="007E2E78"/>
    <w:rsid w:val="007F772C"/>
    <w:rsid w:val="008055F7"/>
    <w:rsid w:val="008214F2"/>
    <w:rsid w:val="0083740C"/>
    <w:rsid w:val="008454ED"/>
    <w:rsid w:val="008670B3"/>
    <w:rsid w:val="008966F2"/>
    <w:rsid w:val="008B458B"/>
    <w:rsid w:val="008E228D"/>
    <w:rsid w:val="008F2D8F"/>
    <w:rsid w:val="00905B8C"/>
    <w:rsid w:val="00924591"/>
    <w:rsid w:val="00926A08"/>
    <w:rsid w:val="00927FB2"/>
    <w:rsid w:val="0094492E"/>
    <w:rsid w:val="009A7CAA"/>
    <w:rsid w:val="009C18F5"/>
    <w:rsid w:val="009C3779"/>
    <w:rsid w:val="00A04149"/>
    <w:rsid w:val="00A33E2A"/>
    <w:rsid w:val="00A5146F"/>
    <w:rsid w:val="00A522FF"/>
    <w:rsid w:val="00A55D57"/>
    <w:rsid w:val="00A60374"/>
    <w:rsid w:val="00A86475"/>
    <w:rsid w:val="00AC2B5A"/>
    <w:rsid w:val="00B0547F"/>
    <w:rsid w:val="00B131BC"/>
    <w:rsid w:val="00B32272"/>
    <w:rsid w:val="00B74416"/>
    <w:rsid w:val="00B95795"/>
    <w:rsid w:val="00BA0A74"/>
    <w:rsid w:val="00BB5CCE"/>
    <w:rsid w:val="00BC3AF7"/>
    <w:rsid w:val="00BC580B"/>
    <w:rsid w:val="00C00E35"/>
    <w:rsid w:val="00C216E4"/>
    <w:rsid w:val="00C2538D"/>
    <w:rsid w:val="00C54085"/>
    <w:rsid w:val="00CA2B29"/>
    <w:rsid w:val="00CD2F94"/>
    <w:rsid w:val="00CD33BE"/>
    <w:rsid w:val="00D16D31"/>
    <w:rsid w:val="00D41230"/>
    <w:rsid w:val="00D42346"/>
    <w:rsid w:val="00D62A7C"/>
    <w:rsid w:val="00D6558C"/>
    <w:rsid w:val="00D84E6D"/>
    <w:rsid w:val="00D87062"/>
    <w:rsid w:val="00DA67D3"/>
    <w:rsid w:val="00DE15B1"/>
    <w:rsid w:val="00DE487E"/>
    <w:rsid w:val="00E02826"/>
    <w:rsid w:val="00E245CA"/>
    <w:rsid w:val="00E441BB"/>
    <w:rsid w:val="00E450F1"/>
    <w:rsid w:val="00E45647"/>
    <w:rsid w:val="00E5060F"/>
    <w:rsid w:val="00E52D9A"/>
    <w:rsid w:val="00E61EF6"/>
    <w:rsid w:val="00E66246"/>
    <w:rsid w:val="00E9229E"/>
    <w:rsid w:val="00E9392D"/>
    <w:rsid w:val="00E96464"/>
    <w:rsid w:val="00EA3321"/>
    <w:rsid w:val="00EC721F"/>
    <w:rsid w:val="00ED3362"/>
    <w:rsid w:val="00EF192E"/>
    <w:rsid w:val="00EF2CE2"/>
    <w:rsid w:val="00F00508"/>
    <w:rsid w:val="00F16932"/>
    <w:rsid w:val="00F172B0"/>
    <w:rsid w:val="00F3460F"/>
    <w:rsid w:val="00F34793"/>
    <w:rsid w:val="00F43049"/>
    <w:rsid w:val="00F43E82"/>
    <w:rsid w:val="00F53DB5"/>
    <w:rsid w:val="00F57484"/>
    <w:rsid w:val="00F86594"/>
    <w:rsid w:val="00FB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D40A"/>
  <w15:docId w15:val="{046B42D8-39F9-424E-B7DC-D94AD03D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45584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5C"/>
    <w:rPr>
      <w:lang w:val="en-GB"/>
    </w:rPr>
  </w:style>
  <w:style w:type="paragraph" w:styleId="Footer">
    <w:name w:val="footer"/>
    <w:basedOn w:val="Normal"/>
    <w:link w:val="FooterChar"/>
    <w:uiPriority w:val="99"/>
    <w:unhideWhenUsed/>
    <w:rsid w:val="00A0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5C"/>
    <w:rPr>
      <w:lang w:val="en-GB"/>
    </w:rPr>
  </w:style>
  <w:style w:type="character" w:styleId="Hyperlink">
    <w:name w:val="Hyperlink"/>
    <w:basedOn w:val="DefaultParagraphFont"/>
    <w:uiPriority w:val="99"/>
    <w:unhideWhenUsed/>
    <w:rsid w:val="00A0245C"/>
    <w:rPr>
      <w:color w:val="0563C1" w:themeColor="hyperlink"/>
      <w:u w:val="single"/>
    </w:rPr>
  </w:style>
  <w:style w:type="character" w:customStyle="1" w:styleId="Heading4Char">
    <w:name w:val="Heading 4 Char"/>
    <w:basedOn w:val="DefaultParagraphFont"/>
    <w:link w:val="Heading4"/>
    <w:uiPriority w:val="9"/>
    <w:rsid w:val="00455841"/>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455841"/>
    <w:rPr>
      <w:color w:val="605E5C"/>
      <w:shd w:val="clear" w:color="auto" w:fill="E1DFDD"/>
    </w:rPr>
  </w:style>
  <w:style w:type="character" w:styleId="SubtleEmphasis">
    <w:name w:val="Subtle Emphasis"/>
    <w:basedOn w:val="DefaultParagraphFont"/>
    <w:uiPriority w:val="19"/>
    <w:qFormat/>
    <w:rsid w:val="00455841"/>
    <w:rPr>
      <w:i/>
      <w:iCs/>
      <w:color w:val="404040" w:themeColor="text1" w:themeTint="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5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sea-intelligence.com" TargetMode="External"/><Relationship Id="rId5" Type="http://schemas.openxmlformats.org/officeDocument/2006/relationships/settings" Target="settings.xml"/><Relationship Id="rId10" Type="http://schemas.openxmlformats.org/officeDocument/2006/relationships/hyperlink" Target="mailto:ia@sea-intelligenc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TpyWfDKlq3yxw2j7Yky3MWA4xA==">AMUW2mVhm+8z4i3aQtRCx4lkkGWzMRWlxEy37cOwCqMFw2JVn3pZo778WRbl314ViZ2Fch9QG4SN4FajiK7BQEghlyZcAoNq9/F9Nstr1ukvKEL9IoLQNpQ=</go:docsCustomData>
</go:gDocsCustomXmlDataStorage>
</file>

<file path=customXml/itemProps1.xml><?xml version="1.0" encoding="utf-8"?>
<ds:datastoreItem xmlns:ds="http://schemas.openxmlformats.org/officeDocument/2006/customXml" ds:itemID="{C32B1785-A333-43E2-A786-492FBF291A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Imaad Asad</dc:creator>
  <cp:lastModifiedBy>Alan Murphy</cp:lastModifiedBy>
  <cp:revision>4</cp:revision>
  <dcterms:created xsi:type="dcterms:W3CDTF">2021-11-08T15:13:00Z</dcterms:created>
  <dcterms:modified xsi:type="dcterms:W3CDTF">2021-11-08T22:35:00Z</dcterms:modified>
</cp:coreProperties>
</file>