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494F523C" w:rsidR="00ED3362" w:rsidRDefault="002D7F7B" w:rsidP="00CF5BEC">
      <w:pPr>
        <w:spacing w:after="0" w:line="276" w:lineRule="auto"/>
        <w:rPr>
          <w:rFonts w:ascii="Khmer" w:eastAsia="Khmer" w:hAnsi="Khmer" w:cs="Khmer"/>
          <w:b/>
          <w:sz w:val="48"/>
          <w:szCs w:val="48"/>
        </w:rPr>
      </w:pPr>
      <w:r w:rsidRPr="006D710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65175105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7542A60E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A735F4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Oct</w:t>
                            </w:r>
                            <w:r w:rsidR="00DB0EF7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235566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26</w:t>
                            </w:r>
                            <w:r w:rsidR="00DB0EF7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35763A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7542A60E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A735F4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Oct</w:t>
                      </w:r>
                      <w:r w:rsidR="00DB0EF7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235566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26</w:t>
                      </w:r>
                      <w:r w:rsidR="00DB0EF7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35763A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F2C4A">
        <w:rPr>
          <w:rFonts w:ascii="Khmer" w:eastAsia="Khmer" w:hAnsi="Khmer" w:cs="Khmer"/>
          <w:b/>
          <w:sz w:val="46"/>
          <w:szCs w:val="46"/>
        </w:rPr>
        <w:t>Key freight rate inflation drivers</w:t>
      </w:r>
    </w:p>
    <w:p w14:paraId="1F9A1C2B" w14:textId="34E79060" w:rsidR="00FF3655" w:rsidRDefault="00235566" w:rsidP="00E62CDE">
      <w:pPr>
        <w:spacing w:after="120" w:line="360" w:lineRule="auto"/>
        <w:jc w:val="both"/>
        <w:rPr>
          <w:rFonts w:ascii="Verdana" w:hAnsi="Verdana"/>
        </w:rPr>
      </w:pPr>
      <w:proofErr w:type="gramStart"/>
      <w:r w:rsidRPr="00235566">
        <w:rPr>
          <w:rFonts w:ascii="Verdana" w:hAnsi="Verdana"/>
        </w:rPr>
        <w:t>It is clear that the</w:t>
      </w:r>
      <w:proofErr w:type="gramEnd"/>
      <w:r w:rsidRPr="00235566">
        <w:rPr>
          <w:rFonts w:ascii="Verdana" w:hAnsi="Verdana"/>
        </w:rPr>
        <w:t xml:space="preserve"> underlying costs for operating liner services has increased significantly over the past couple of years. The </w:t>
      </w:r>
      <w:r>
        <w:rPr>
          <w:rFonts w:ascii="Verdana" w:hAnsi="Verdana"/>
        </w:rPr>
        <w:t xml:space="preserve">important </w:t>
      </w:r>
      <w:r w:rsidRPr="00235566">
        <w:rPr>
          <w:rFonts w:ascii="Verdana" w:hAnsi="Verdana"/>
        </w:rPr>
        <w:t xml:space="preserve">question is how much </w:t>
      </w:r>
      <w:r w:rsidR="00F741AD">
        <w:rPr>
          <w:rFonts w:ascii="Verdana" w:hAnsi="Verdana"/>
        </w:rPr>
        <w:t xml:space="preserve">these costs have </w:t>
      </w:r>
      <w:proofErr w:type="gramStart"/>
      <w:r w:rsidR="00F741AD">
        <w:rPr>
          <w:rFonts w:ascii="Verdana" w:hAnsi="Verdana"/>
        </w:rPr>
        <w:t>actually</w:t>
      </w:r>
      <w:r w:rsidRPr="00235566">
        <w:rPr>
          <w:rFonts w:ascii="Verdana" w:hAnsi="Verdana"/>
        </w:rPr>
        <w:t xml:space="preserve"> increased</w:t>
      </w:r>
      <w:proofErr w:type="gramEnd"/>
      <w:r w:rsidR="00F741A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F741AD">
        <w:rPr>
          <w:rFonts w:ascii="Verdana" w:hAnsi="Verdana"/>
        </w:rPr>
        <w:t xml:space="preserve">This </w:t>
      </w:r>
      <w:r w:rsidR="00CF5BEC" w:rsidRPr="00235566">
        <w:rPr>
          <w:rFonts w:ascii="Verdana" w:hAnsi="Verdana"/>
        </w:rPr>
        <w:t>provides</w:t>
      </w:r>
      <w:r w:rsidRPr="00235566">
        <w:rPr>
          <w:rFonts w:ascii="Verdana" w:hAnsi="Verdana"/>
        </w:rPr>
        <w:t xml:space="preserve"> one of the anchor points</w:t>
      </w:r>
      <w:r w:rsidR="00CF5BEC">
        <w:rPr>
          <w:rFonts w:ascii="Verdana" w:hAnsi="Verdana"/>
        </w:rPr>
        <w:t>,</w:t>
      </w:r>
      <w:r w:rsidRPr="00235566">
        <w:rPr>
          <w:rFonts w:ascii="Verdana" w:hAnsi="Verdana"/>
        </w:rPr>
        <w:t xml:space="preserve"> in assessing what the baseline rate level might </w:t>
      </w:r>
      <w:r w:rsidR="00F741AD">
        <w:rPr>
          <w:rFonts w:ascii="Verdana" w:hAnsi="Verdana"/>
        </w:rPr>
        <w:t xml:space="preserve">settle </w:t>
      </w:r>
      <w:r w:rsidR="00F741AD" w:rsidRPr="00235566">
        <w:rPr>
          <w:rFonts w:ascii="Verdana" w:hAnsi="Verdana"/>
        </w:rPr>
        <w:t>at</w:t>
      </w:r>
      <w:r w:rsidR="00F741AD">
        <w:rPr>
          <w:rFonts w:ascii="Verdana" w:hAnsi="Verdana"/>
        </w:rPr>
        <w:t xml:space="preserve"> once</w:t>
      </w:r>
      <w:r w:rsidRPr="00235566">
        <w:rPr>
          <w:rFonts w:ascii="Verdana" w:hAnsi="Verdana"/>
        </w:rPr>
        <w:t xml:space="preserve"> we get through the present rate renormalization.</w:t>
      </w:r>
    </w:p>
    <w:p w14:paraId="3FD9E31B" w14:textId="2DD57492" w:rsidR="00F741AD" w:rsidRDefault="00F741AD" w:rsidP="00E62CDE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While it would be ideal to analyse costs across multiple carriers, </w:t>
      </w:r>
      <w:r w:rsidR="00CF5BEC">
        <w:rPr>
          <w:rFonts w:ascii="Verdana" w:hAnsi="Verdana"/>
        </w:rPr>
        <w:t>few carriers provide detailed costs data</w:t>
      </w:r>
      <w:r>
        <w:rPr>
          <w:rFonts w:ascii="Verdana" w:hAnsi="Verdana"/>
        </w:rPr>
        <w:t xml:space="preserve">. </w:t>
      </w:r>
      <w:r w:rsidR="00CF5BEC">
        <w:rPr>
          <w:rFonts w:ascii="Verdana" w:hAnsi="Verdana"/>
        </w:rPr>
        <w:t>W</w:t>
      </w:r>
      <w:r>
        <w:rPr>
          <w:rFonts w:ascii="Verdana" w:hAnsi="Verdana"/>
        </w:rPr>
        <w:t xml:space="preserve">e have looked at the costs data published by Hapag-Lloyd, which publishes this </w:t>
      </w:r>
      <w:r w:rsidR="00CF5BEC">
        <w:rPr>
          <w:rFonts w:ascii="Verdana" w:hAnsi="Verdana"/>
        </w:rPr>
        <w:t xml:space="preserve">type of </w:t>
      </w:r>
      <w:r>
        <w:rPr>
          <w:rFonts w:ascii="Verdana" w:hAnsi="Verdana"/>
        </w:rPr>
        <w:t>data with the most granularity, on a systematic basis, and with several years of history.</w:t>
      </w:r>
      <w:r w:rsidR="00CF5BEC">
        <w:rPr>
          <w:rFonts w:ascii="Verdana" w:hAnsi="Verdana"/>
        </w:rPr>
        <w:t xml:space="preserve"> </w:t>
      </w:r>
      <w:r w:rsidR="00CF5BEC">
        <w:rPr>
          <w:rFonts w:ascii="Verdana" w:eastAsia="MS Gothic" w:hAnsi="Verdana" w:cs="MS Gothic"/>
        </w:rPr>
        <w:t>The underlying assumption is thus that Hapag-Lloyd is representative of the market.</w:t>
      </w:r>
    </w:p>
    <w:p w14:paraId="7515F7ED" w14:textId="46A7EEFE" w:rsidR="00F741AD" w:rsidRDefault="00F741AD" w:rsidP="00E62CDE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Hapag-Lloyd has three major cost categories – transport expenses, personnel expenses, and depreciation, amortisation, &amp; impairments. Transport expenses is sub-divided into bunker, handling &amp; haulage, equipment &amp; repositioning, vessels &amp; voyages (excl. bunker), and expenses for pending voyages (</w:t>
      </w:r>
      <w:r w:rsidR="00CF5BEC">
        <w:rPr>
          <w:rFonts w:ascii="Verdana" w:eastAsia="MS Gothic" w:hAnsi="Verdana" w:cs="MS Gothic"/>
        </w:rPr>
        <w:t>an exceedingly small element and will not be analysed here</w:t>
      </w:r>
      <w:r>
        <w:rPr>
          <w:rFonts w:ascii="Verdana" w:hAnsi="Verdana"/>
        </w:rPr>
        <w:t>).</w:t>
      </w:r>
    </w:p>
    <w:p w14:paraId="785814E0" w14:textId="2A79F03B" w:rsidR="00F741AD" w:rsidRDefault="00CF5BEC" w:rsidP="00E62CDE">
      <w:pPr>
        <w:spacing w:after="120" w:line="360" w:lineRule="auto"/>
        <w:jc w:val="both"/>
        <w:rPr>
          <w:rFonts w:ascii="Verdana" w:hAnsi="Verdana"/>
        </w:rPr>
      </w:pPr>
      <w:r w:rsidRPr="00C0153D">
        <w:rPr>
          <w:noProof/>
        </w:rPr>
        <w:drawing>
          <wp:anchor distT="0" distB="0" distL="114300" distR="114300" simplePos="0" relativeHeight="251659264" behindDoc="1" locked="0" layoutInCell="1" allowOverlap="1" wp14:anchorId="66620F45" wp14:editId="518FC931">
            <wp:simplePos x="0" y="0"/>
            <wp:positionH relativeFrom="margin">
              <wp:posOffset>3810</wp:posOffset>
            </wp:positionH>
            <wp:positionV relativeFrom="paragraph">
              <wp:posOffset>715645</wp:posOffset>
            </wp:positionV>
            <wp:extent cx="2476500" cy="2955290"/>
            <wp:effectExtent l="0" t="0" r="0" b="0"/>
            <wp:wrapTight wrapText="bothSides">
              <wp:wrapPolygon edited="0">
                <wp:start x="0" y="0"/>
                <wp:lineTo x="0" y="21442"/>
                <wp:lineTo x="21434" y="21442"/>
                <wp:lineTo x="21434" y="0"/>
                <wp:lineTo x="0" y="0"/>
              </wp:wrapPolygon>
            </wp:wrapTight>
            <wp:docPr id="1" name="Picture 1" descr="Chart, timeline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imeline, ba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1AD">
        <w:rPr>
          <w:rFonts w:ascii="Verdana" w:hAnsi="Verdana"/>
        </w:rPr>
        <w:t xml:space="preserve">Figure 1 shows </w:t>
      </w:r>
      <w:r>
        <w:rPr>
          <w:rFonts w:ascii="Verdana" w:hAnsi="Verdana"/>
        </w:rPr>
        <w:t>a</w:t>
      </w:r>
      <w:r w:rsidR="00F741AD">
        <w:rPr>
          <w:rFonts w:ascii="Verdana" w:hAnsi="Verdana"/>
        </w:rPr>
        <w:t xml:space="preserve"> comparative overview of the increases in each of these cost elements. The unit cost is calculated across transported volumes in that quarter. The blue bars are the three </w:t>
      </w:r>
      <w:r>
        <w:rPr>
          <w:rFonts w:ascii="Verdana" w:hAnsi="Verdana"/>
        </w:rPr>
        <w:t>main cost</w:t>
      </w:r>
      <w:r w:rsidR="00F741AD">
        <w:rPr>
          <w:rFonts w:ascii="Verdana" w:hAnsi="Verdana"/>
        </w:rPr>
        <w:t xml:space="preserve"> categories, and the green bars are the subcomponents of transport expenses.</w:t>
      </w:r>
    </w:p>
    <w:p w14:paraId="7CFE259C" w14:textId="4225481E" w:rsidR="00F741AD" w:rsidRPr="00FF3655" w:rsidRDefault="00C0153D" w:rsidP="00E62CDE">
      <w:pPr>
        <w:spacing w:after="120" w:line="360" w:lineRule="auto"/>
        <w:jc w:val="both"/>
        <w:rPr>
          <w:rFonts w:ascii="Verdana" w:hAnsi="Verdana"/>
        </w:rPr>
      </w:pPr>
      <w:r w:rsidRPr="00C0153D">
        <w:rPr>
          <w:rFonts w:ascii="Verdana" w:hAnsi="Verdana"/>
        </w:rPr>
        <w:t>Bunker costs are here seen to have experienced the largest relative cost increase compared to 2019.</w:t>
      </w:r>
      <w:r>
        <w:rPr>
          <w:rFonts w:ascii="Verdana" w:hAnsi="Verdana"/>
        </w:rPr>
        <w:t xml:space="preserve"> When we account for the relative share, </w:t>
      </w:r>
      <w:r w:rsidR="00CF5BEC">
        <w:rPr>
          <w:rFonts w:ascii="Verdana" w:hAnsi="Verdana"/>
        </w:rPr>
        <w:t xml:space="preserve">the </w:t>
      </w:r>
      <w:r w:rsidRPr="00C0153D">
        <w:rPr>
          <w:rFonts w:ascii="Verdana" w:hAnsi="Verdana"/>
        </w:rPr>
        <w:t>cost increase in handling and haulage is accountable for 37% of the unit cost increase, followed by bunker fuel which is accountable for 30% of the cost increase.</w:t>
      </w:r>
      <w:r>
        <w:rPr>
          <w:rFonts w:ascii="Verdana" w:hAnsi="Verdana"/>
        </w:rPr>
        <w:t xml:space="preserve"> This means that </w:t>
      </w:r>
      <w:r w:rsidRPr="00C0153D">
        <w:rPr>
          <w:rFonts w:ascii="Verdana" w:hAnsi="Verdana"/>
        </w:rPr>
        <w:t xml:space="preserve">two-thirds of the inflationary pressure is related to fuel, </w:t>
      </w:r>
      <w:proofErr w:type="gramStart"/>
      <w:r w:rsidRPr="00C0153D">
        <w:rPr>
          <w:rFonts w:ascii="Verdana" w:hAnsi="Verdana"/>
        </w:rPr>
        <w:t>handling</w:t>
      </w:r>
      <w:proofErr w:type="gramEnd"/>
      <w:r w:rsidRPr="00C0153D">
        <w:rPr>
          <w:rFonts w:ascii="Verdana" w:hAnsi="Verdana"/>
        </w:rPr>
        <w:t xml:space="preserve"> and haulage. This is also key pointer as to where the carriers are likely to focus in the months ahead, as the </w:t>
      </w:r>
      <w:r w:rsidR="00CF5BEC">
        <w:rPr>
          <w:rFonts w:ascii="Verdana" w:hAnsi="Verdana"/>
        </w:rPr>
        <w:t xml:space="preserve">ongoing </w:t>
      </w:r>
      <w:r w:rsidRPr="00C0153D">
        <w:rPr>
          <w:rFonts w:ascii="Verdana" w:hAnsi="Verdana"/>
        </w:rPr>
        <w:t>market downturn will force carriers to focus on cost reductions</w:t>
      </w:r>
      <w:r>
        <w:rPr>
          <w:rFonts w:ascii="Verdana" w:hAnsi="Verdana"/>
        </w:rPr>
        <w:t>.</w:t>
      </w:r>
    </w:p>
    <w:p w14:paraId="23D7D40F" w14:textId="1EA05ADC" w:rsidR="00ED3362" w:rsidRDefault="002D7F7B" w:rsidP="001363C6">
      <w:pPr>
        <w:spacing w:after="12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23D7D410" w14:textId="64F3B69D" w:rsidR="00ED3362" w:rsidRDefault="002D7F7B" w:rsidP="001363C6">
      <w:pPr>
        <w:spacing w:after="120" w:line="360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 w:history="1">
        <w:r w:rsidR="00617E94" w:rsidRPr="008563D5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>
      <w:footerReference w:type="default" r:id="rId11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16EB" w14:textId="77777777" w:rsidR="00DE4085" w:rsidRDefault="00DE4085">
      <w:pPr>
        <w:spacing w:after="0" w:line="240" w:lineRule="auto"/>
      </w:pPr>
      <w:r>
        <w:separator/>
      </w:r>
    </w:p>
  </w:endnote>
  <w:endnote w:type="continuationSeparator" w:id="0">
    <w:p w14:paraId="269DEE74" w14:textId="77777777" w:rsidR="00DE4085" w:rsidRDefault="00DE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C51" w14:textId="77777777" w:rsidR="00DE4085" w:rsidRDefault="00DE4085">
      <w:pPr>
        <w:spacing w:after="0" w:line="240" w:lineRule="auto"/>
      </w:pPr>
      <w:r>
        <w:separator/>
      </w:r>
    </w:p>
  </w:footnote>
  <w:footnote w:type="continuationSeparator" w:id="0">
    <w:p w14:paraId="7C6D4856" w14:textId="77777777" w:rsidR="00DE4085" w:rsidRDefault="00DE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218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00BE9"/>
    <w:rsid w:val="000138EF"/>
    <w:rsid w:val="000145DC"/>
    <w:rsid w:val="00021071"/>
    <w:rsid w:val="00022322"/>
    <w:rsid w:val="00026792"/>
    <w:rsid w:val="00027146"/>
    <w:rsid w:val="000302B4"/>
    <w:rsid w:val="00031B77"/>
    <w:rsid w:val="000356E3"/>
    <w:rsid w:val="00057FCB"/>
    <w:rsid w:val="000611CD"/>
    <w:rsid w:val="000656BF"/>
    <w:rsid w:val="00080764"/>
    <w:rsid w:val="00083E1F"/>
    <w:rsid w:val="0009250C"/>
    <w:rsid w:val="00094392"/>
    <w:rsid w:val="00096C88"/>
    <w:rsid w:val="000A5C66"/>
    <w:rsid w:val="000B7125"/>
    <w:rsid w:val="000D437A"/>
    <w:rsid w:val="000D4870"/>
    <w:rsid w:val="000D52D3"/>
    <w:rsid w:val="000E560A"/>
    <w:rsid w:val="001015F7"/>
    <w:rsid w:val="0011039E"/>
    <w:rsid w:val="001249B8"/>
    <w:rsid w:val="00125318"/>
    <w:rsid w:val="00134A93"/>
    <w:rsid w:val="001363C6"/>
    <w:rsid w:val="00142862"/>
    <w:rsid w:val="001546DB"/>
    <w:rsid w:val="00172FE1"/>
    <w:rsid w:val="001761B3"/>
    <w:rsid w:val="00176AF7"/>
    <w:rsid w:val="00194A1C"/>
    <w:rsid w:val="00197A86"/>
    <w:rsid w:val="001D1262"/>
    <w:rsid w:val="001D1960"/>
    <w:rsid w:val="001D3BE5"/>
    <w:rsid w:val="001E21B5"/>
    <w:rsid w:val="001E63C3"/>
    <w:rsid w:val="00206446"/>
    <w:rsid w:val="0021474D"/>
    <w:rsid w:val="00216E61"/>
    <w:rsid w:val="0022026B"/>
    <w:rsid w:val="002272D6"/>
    <w:rsid w:val="0023428F"/>
    <w:rsid w:val="00235566"/>
    <w:rsid w:val="00242583"/>
    <w:rsid w:val="00242A7C"/>
    <w:rsid w:val="002433F3"/>
    <w:rsid w:val="0024541B"/>
    <w:rsid w:val="00250D79"/>
    <w:rsid w:val="0025229F"/>
    <w:rsid w:val="0025329B"/>
    <w:rsid w:val="002543AD"/>
    <w:rsid w:val="00256DEC"/>
    <w:rsid w:val="00257E31"/>
    <w:rsid w:val="00265D05"/>
    <w:rsid w:val="00270D1D"/>
    <w:rsid w:val="00271D53"/>
    <w:rsid w:val="002754A3"/>
    <w:rsid w:val="0029224A"/>
    <w:rsid w:val="002964A2"/>
    <w:rsid w:val="002A5663"/>
    <w:rsid w:val="002A5767"/>
    <w:rsid w:val="002B3CEB"/>
    <w:rsid w:val="002B3DD7"/>
    <w:rsid w:val="002B7CD2"/>
    <w:rsid w:val="002C75A5"/>
    <w:rsid w:val="002D7C4E"/>
    <w:rsid w:val="002D7F7B"/>
    <w:rsid w:val="002E17BD"/>
    <w:rsid w:val="002E5EEE"/>
    <w:rsid w:val="002E7462"/>
    <w:rsid w:val="002F2D51"/>
    <w:rsid w:val="002F45CC"/>
    <w:rsid w:val="00314039"/>
    <w:rsid w:val="003166B0"/>
    <w:rsid w:val="00316B97"/>
    <w:rsid w:val="00332A3F"/>
    <w:rsid w:val="003331E6"/>
    <w:rsid w:val="00341A4E"/>
    <w:rsid w:val="00345801"/>
    <w:rsid w:val="00352640"/>
    <w:rsid w:val="003526A9"/>
    <w:rsid w:val="00354515"/>
    <w:rsid w:val="0035763A"/>
    <w:rsid w:val="00366254"/>
    <w:rsid w:val="00371307"/>
    <w:rsid w:val="003718C1"/>
    <w:rsid w:val="00374ED7"/>
    <w:rsid w:val="003868E8"/>
    <w:rsid w:val="0039083A"/>
    <w:rsid w:val="003A7251"/>
    <w:rsid w:val="003C78A9"/>
    <w:rsid w:val="003D0ED2"/>
    <w:rsid w:val="003D185A"/>
    <w:rsid w:val="003D2C7E"/>
    <w:rsid w:val="003D3E5B"/>
    <w:rsid w:val="003E0ACD"/>
    <w:rsid w:val="003E14A9"/>
    <w:rsid w:val="003E26FB"/>
    <w:rsid w:val="003F14F9"/>
    <w:rsid w:val="00431B2C"/>
    <w:rsid w:val="0043531F"/>
    <w:rsid w:val="00442E5F"/>
    <w:rsid w:val="00445291"/>
    <w:rsid w:val="00450632"/>
    <w:rsid w:val="00450BB6"/>
    <w:rsid w:val="00456383"/>
    <w:rsid w:val="00476919"/>
    <w:rsid w:val="004806C1"/>
    <w:rsid w:val="0049394A"/>
    <w:rsid w:val="0049654D"/>
    <w:rsid w:val="004A00DB"/>
    <w:rsid w:val="004A160F"/>
    <w:rsid w:val="004A4DB6"/>
    <w:rsid w:val="004A6D1C"/>
    <w:rsid w:val="004B42A5"/>
    <w:rsid w:val="004B6C13"/>
    <w:rsid w:val="004C6DBD"/>
    <w:rsid w:val="004C6EFD"/>
    <w:rsid w:val="004D0BF0"/>
    <w:rsid w:val="004D1478"/>
    <w:rsid w:val="004F449B"/>
    <w:rsid w:val="00502C23"/>
    <w:rsid w:val="00505109"/>
    <w:rsid w:val="00513A8B"/>
    <w:rsid w:val="00517F68"/>
    <w:rsid w:val="00531B94"/>
    <w:rsid w:val="00533941"/>
    <w:rsid w:val="0054023B"/>
    <w:rsid w:val="00542CDC"/>
    <w:rsid w:val="005546D2"/>
    <w:rsid w:val="00557797"/>
    <w:rsid w:val="00567542"/>
    <w:rsid w:val="00570B84"/>
    <w:rsid w:val="0057220B"/>
    <w:rsid w:val="00574EF3"/>
    <w:rsid w:val="0059150D"/>
    <w:rsid w:val="005C7A1F"/>
    <w:rsid w:val="005D1BC8"/>
    <w:rsid w:val="005D288A"/>
    <w:rsid w:val="005D33F4"/>
    <w:rsid w:val="006003E1"/>
    <w:rsid w:val="00617E94"/>
    <w:rsid w:val="00620847"/>
    <w:rsid w:val="006267B7"/>
    <w:rsid w:val="00627B34"/>
    <w:rsid w:val="00631ACD"/>
    <w:rsid w:val="00633029"/>
    <w:rsid w:val="006426CF"/>
    <w:rsid w:val="00642B38"/>
    <w:rsid w:val="0064629E"/>
    <w:rsid w:val="00652139"/>
    <w:rsid w:val="00652830"/>
    <w:rsid w:val="00655AD1"/>
    <w:rsid w:val="00664511"/>
    <w:rsid w:val="006650A5"/>
    <w:rsid w:val="00677227"/>
    <w:rsid w:val="006919AD"/>
    <w:rsid w:val="00691A81"/>
    <w:rsid w:val="0069247C"/>
    <w:rsid w:val="006C68EA"/>
    <w:rsid w:val="006C7FFE"/>
    <w:rsid w:val="006D5052"/>
    <w:rsid w:val="006D6AD0"/>
    <w:rsid w:val="006D7100"/>
    <w:rsid w:val="006F2C4A"/>
    <w:rsid w:val="00701666"/>
    <w:rsid w:val="00713843"/>
    <w:rsid w:val="00713D65"/>
    <w:rsid w:val="0072601B"/>
    <w:rsid w:val="00736072"/>
    <w:rsid w:val="00736DC9"/>
    <w:rsid w:val="0075329D"/>
    <w:rsid w:val="0075413B"/>
    <w:rsid w:val="00765EDF"/>
    <w:rsid w:val="00773291"/>
    <w:rsid w:val="00773B45"/>
    <w:rsid w:val="00774388"/>
    <w:rsid w:val="00774FA0"/>
    <w:rsid w:val="00780274"/>
    <w:rsid w:val="007A0E85"/>
    <w:rsid w:val="007B386D"/>
    <w:rsid w:val="007B61DD"/>
    <w:rsid w:val="007B6513"/>
    <w:rsid w:val="007C3902"/>
    <w:rsid w:val="007E1DB9"/>
    <w:rsid w:val="007E2E78"/>
    <w:rsid w:val="007E5256"/>
    <w:rsid w:val="007E5983"/>
    <w:rsid w:val="007F6FD5"/>
    <w:rsid w:val="007F772C"/>
    <w:rsid w:val="00804713"/>
    <w:rsid w:val="008055F7"/>
    <w:rsid w:val="00817FC5"/>
    <w:rsid w:val="008214F2"/>
    <w:rsid w:val="008314AB"/>
    <w:rsid w:val="008454ED"/>
    <w:rsid w:val="008516AC"/>
    <w:rsid w:val="00854D88"/>
    <w:rsid w:val="0085561A"/>
    <w:rsid w:val="008670B3"/>
    <w:rsid w:val="00887E35"/>
    <w:rsid w:val="008966F2"/>
    <w:rsid w:val="008B7981"/>
    <w:rsid w:val="008D5C9E"/>
    <w:rsid w:val="008E228D"/>
    <w:rsid w:val="008F2D8F"/>
    <w:rsid w:val="00900FE9"/>
    <w:rsid w:val="00905056"/>
    <w:rsid w:val="00905B8C"/>
    <w:rsid w:val="009227A5"/>
    <w:rsid w:val="00924591"/>
    <w:rsid w:val="00926A08"/>
    <w:rsid w:val="00927FB2"/>
    <w:rsid w:val="00942E6C"/>
    <w:rsid w:val="0094492E"/>
    <w:rsid w:val="00961C96"/>
    <w:rsid w:val="0097323E"/>
    <w:rsid w:val="00976323"/>
    <w:rsid w:val="009A7CAA"/>
    <w:rsid w:val="009B5D60"/>
    <w:rsid w:val="009C18F5"/>
    <w:rsid w:val="009C3779"/>
    <w:rsid w:val="009D34C2"/>
    <w:rsid w:val="009E59E1"/>
    <w:rsid w:val="00A046B3"/>
    <w:rsid w:val="00A11CE9"/>
    <w:rsid w:val="00A20422"/>
    <w:rsid w:val="00A33E2A"/>
    <w:rsid w:val="00A5146F"/>
    <w:rsid w:val="00A522FF"/>
    <w:rsid w:val="00A55D57"/>
    <w:rsid w:val="00A60374"/>
    <w:rsid w:val="00A60E78"/>
    <w:rsid w:val="00A679DD"/>
    <w:rsid w:val="00A735F4"/>
    <w:rsid w:val="00A74EE2"/>
    <w:rsid w:val="00A86475"/>
    <w:rsid w:val="00A95D76"/>
    <w:rsid w:val="00AA2CEC"/>
    <w:rsid w:val="00AA3DA7"/>
    <w:rsid w:val="00AA7BAD"/>
    <w:rsid w:val="00AD3BC2"/>
    <w:rsid w:val="00AE1F9A"/>
    <w:rsid w:val="00B03E3B"/>
    <w:rsid w:val="00B0547F"/>
    <w:rsid w:val="00B131BC"/>
    <w:rsid w:val="00B163FD"/>
    <w:rsid w:val="00B218E2"/>
    <w:rsid w:val="00B32272"/>
    <w:rsid w:val="00B5652D"/>
    <w:rsid w:val="00B66978"/>
    <w:rsid w:val="00B67CD7"/>
    <w:rsid w:val="00B76256"/>
    <w:rsid w:val="00B91CEC"/>
    <w:rsid w:val="00B95795"/>
    <w:rsid w:val="00BA0A74"/>
    <w:rsid w:val="00BB4A87"/>
    <w:rsid w:val="00BB5CCE"/>
    <w:rsid w:val="00BC3AF7"/>
    <w:rsid w:val="00BC580B"/>
    <w:rsid w:val="00BD78EA"/>
    <w:rsid w:val="00C00E35"/>
    <w:rsid w:val="00C0153D"/>
    <w:rsid w:val="00C03430"/>
    <w:rsid w:val="00C04E28"/>
    <w:rsid w:val="00C07B37"/>
    <w:rsid w:val="00C216E4"/>
    <w:rsid w:val="00C2538D"/>
    <w:rsid w:val="00C33613"/>
    <w:rsid w:val="00C35EE1"/>
    <w:rsid w:val="00C472A1"/>
    <w:rsid w:val="00C54085"/>
    <w:rsid w:val="00C82222"/>
    <w:rsid w:val="00C8785D"/>
    <w:rsid w:val="00CA2B29"/>
    <w:rsid w:val="00CA3116"/>
    <w:rsid w:val="00CD2F94"/>
    <w:rsid w:val="00CE4080"/>
    <w:rsid w:val="00CE46C2"/>
    <w:rsid w:val="00CF5BEC"/>
    <w:rsid w:val="00CF63C3"/>
    <w:rsid w:val="00D0547A"/>
    <w:rsid w:val="00D16D31"/>
    <w:rsid w:val="00D30354"/>
    <w:rsid w:val="00D41230"/>
    <w:rsid w:val="00D42346"/>
    <w:rsid w:val="00D602C7"/>
    <w:rsid w:val="00D62A7C"/>
    <w:rsid w:val="00D668E7"/>
    <w:rsid w:val="00D84E6D"/>
    <w:rsid w:val="00D85C54"/>
    <w:rsid w:val="00D87062"/>
    <w:rsid w:val="00D8755E"/>
    <w:rsid w:val="00DA67D3"/>
    <w:rsid w:val="00DA6FF7"/>
    <w:rsid w:val="00DB0EF7"/>
    <w:rsid w:val="00DD55DE"/>
    <w:rsid w:val="00DE15B1"/>
    <w:rsid w:val="00DE3640"/>
    <w:rsid w:val="00DE4085"/>
    <w:rsid w:val="00DE487E"/>
    <w:rsid w:val="00E01947"/>
    <w:rsid w:val="00E02826"/>
    <w:rsid w:val="00E054A8"/>
    <w:rsid w:val="00E13A25"/>
    <w:rsid w:val="00E17AE2"/>
    <w:rsid w:val="00E22978"/>
    <w:rsid w:val="00E245CA"/>
    <w:rsid w:val="00E3260A"/>
    <w:rsid w:val="00E32FB8"/>
    <w:rsid w:val="00E42162"/>
    <w:rsid w:val="00E441BB"/>
    <w:rsid w:val="00E450F1"/>
    <w:rsid w:val="00E45647"/>
    <w:rsid w:val="00E5060F"/>
    <w:rsid w:val="00E52D9A"/>
    <w:rsid w:val="00E53572"/>
    <w:rsid w:val="00E62CDE"/>
    <w:rsid w:val="00E65CB5"/>
    <w:rsid w:val="00E66246"/>
    <w:rsid w:val="00E9229E"/>
    <w:rsid w:val="00E9392D"/>
    <w:rsid w:val="00E96464"/>
    <w:rsid w:val="00EA0709"/>
    <w:rsid w:val="00EA3321"/>
    <w:rsid w:val="00EC721F"/>
    <w:rsid w:val="00ED3362"/>
    <w:rsid w:val="00EE0039"/>
    <w:rsid w:val="00EE36CF"/>
    <w:rsid w:val="00EF192E"/>
    <w:rsid w:val="00EF2CE2"/>
    <w:rsid w:val="00F04721"/>
    <w:rsid w:val="00F07C8E"/>
    <w:rsid w:val="00F16932"/>
    <w:rsid w:val="00F22300"/>
    <w:rsid w:val="00F2368E"/>
    <w:rsid w:val="00F23B02"/>
    <w:rsid w:val="00F3460F"/>
    <w:rsid w:val="00F34793"/>
    <w:rsid w:val="00F43049"/>
    <w:rsid w:val="00F47D46"/>
    <w:rsid w:val="00F50F8B"/>
    <w:rsid w:val="00F53DB5"/>
    <w:rsid w:val="00F57410"/>
    <w:rsid w:val="00F600E0"/>
    <w:rsid w:val="00F6011C"/>
    <w:rsid w:val="00F6455F"/>
    <w:rsid w:val="00F741AD"/>
    <w:rsid w:val="00F825C6"/>
    <w:rsid w:val="00F86594"/>
    <w:rsid w:val="00F86A51"/>
    <w:rsid w:val="00F87289"/>
    <w:rsid w:val="00F93AF2"/>
    <w:rsid w:val="00F969EE"/>
    <w:rsid w:val="00FA2E94"/>
    <w:rsid w:val="00FB014C"/>
    <w:rsid w:val="00FB07C6"/>
    <w:rsid w:val="00FB4DA9"/>
    <w:rsid w:val="00FF3655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@sea-intellig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Imaad Asad</dc:creator>
  <cp:lastModifiedBy>Niels Madsen</cp:lastModifiedBy>
  <cp:revision>5</cp:revision>
  <dcterms:created xsi:type="dcterms:W3CDTF">2022-10-25T22:07:00Z</dcterms:created>
  <dcterms:modified xsi:type="dcterms:W3CDTF">2022-10-26T07:45:00Z</dcterms:modified>
</cp:coreProperties>
</file>