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571494DF" w:rsidR="00ED3362" w:rsidRDefault="002D7F7B" w:rsidP="001363C6">
      <w:pPr>
        <w:spacing w:after="0" w:line="360" w:lineRule="auto"/>
        <w:rPr>
          <w:rFonts w:ascii="Khmer" w:eastAsia="Khmer" w:hAnsi="Khmer" w:cs="Khmer"/>
          <w:b/>
          <w:sz w:val="48"/>
          <w:szCs w:val="48"/>
        </w:rPr>
      </w:pPr>
      <w:r w:rsidRPr="002D20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4D8CFF2E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675DB8CA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EA76A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Feb</w:t>
                            </w:r>
                            <w:r w:rsidR="00E30E9C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B253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B8120C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B8120C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8342F0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675DB8CA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EA76A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Feb</w:t>
                      </w:r>
                      <w:r w:rsidR="00E30E9C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B253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 w:rsidR="00B8120C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3</w:t>
                      </w:r>
                      <w:r w:rsidR="00B8120C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8342F0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3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B2531">
        <w:rPr>
          <w:rFonts w:ascii="Khmer" w:eastAsia="Khmer" w:hAnsi="Khmer" w:cs="Khmer"/>
          <w:b/>
          <w:sz w:val="44"/>
          <w:szCs w:val="44"/>
        </w:rPr>
        <w:t>Utilisation drives rates down – except Atlantic</w:t>
      </w:r>
    </w:p>
    <w:p w14:paraId="0593759A" w14:textId="13A40815" w:rsidR="00873B68" w:rsidRDefault="008D7B04" w:rsidP="008D7B04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During the pandemic period, a combination of high demand coupled with a unprecedented loss of capacity from vessel congestion, led to vessel utilisation rates spiking to record levels, which in turn led to spike in spot rates, with both reaching a peak in </w:t>
      </w:r>
      <w:r w:rsidR="00AB2531">
        <w:rPr>
          <w:rFonts w:ascii="Verdana" w:hAnsi="Verdana"/>
        </w:rPr>
        <w:t>February 2022</w:t>
      </w:r>
      <w:r w:rsidR="00BB2003">
        <w:rPr>
          <w:rFonts w:ascii="Verdana" w:hAnsi="Verdana"/>
        </w:rPr>
        <w:t>.</w:t>
      </w:r>
      <w:r w:rsidR="00AB2531">
        <w:rPr>
          <w:rFonts w:ascii="Verdana" w:hAnsi="Verdana"/>
        </w:rPr>
        <w:t xml:space="preserve"> Since then however, vessel utilisation has dropped sharply; in the case of Transpacific, it is now back to the pre-pandemic levels, whereas in the case of Asia-Europe, it dropped below the pre-pandemic levels</w:t>
      </w:r>
      <w:r>
        <w:rPr>
          <w:rFonts w:ascii="Verdana" w:hAnsi="Verdana"/>
        </w:rPr>
        <w:t xml:space="preserve"> at first</w:t>
      </w:r>
      <w:r w:rsidR="00AB2531">
        <w:rPr>
          <w:rFonts w:ascii="Verdana" w:hAnsi="Verdana"/>
        </w:rPr>
        <w:t xml:space="preserve">, </w:t>
      </w:r>
      <w:r>
        <w:rPr>
          <w:rFonts w:ascii="Verdana" w:hAnsi="Verdana"/>
        </w:rPr>
        <w:t>but is now back to pre-pandemic levels.</w:t>
      </w:r>
    </w:p>
    <w:p w14:paraId="6B8DBEE5" w14:textId="002AA3BC" w:rsidR="008D7B04" w:rsidRPr="00B8120C" w:rsidRDefault="00B8120C" w:rsidP="00E62CDE">
      <w:pPr>
        <w:spacing w:after="120" w:line="360" w:lineRule="auto"/>
        <w:jc w:val="both"/>
        <w:rPr>
          <w:rFonts w:ascii="Verdana" w:hAnsi="Verdana"/>
        </w:rPr>
      </w:pPr>
      <w:r w:rsidRPr="00DF12F6">
        <w:rPr>
          <w:noProof/>
        </w:rPr>
        <w:drawing>
          <wp:anchor distT="0" distB="0" distL="114300" distR="114300" simplePos="0" relativeHeight="251659264" behindDoc="1" locked="0" layoutInCell="1" allowOverlap="1" wp14:anchorId="226B642C" wp14:editId="5F04DBB4">
            <wp:simplePos x="0" y="0"/>
            <wp:positionH relativeFrom="margin">
              <wp:posOffset>3810</wp:posOffset>
            </wp:positionH>
            <wp:positionV relativeFrom="page">
              <wp:posOffset>3086100</wp:posOffset>
            </wp:positionV>
            <wp:extent cx="2819400" cy="3147695"/>
            <wp:effectExtent l="0" t="0" r="0" b="0"/>
            <wp:wrapTight wrapText="bothSides">
              <wp:wrapPolygon edited="0">
                <wp:start x="0" y="0"/>
                <wp:lineTo x="0" y="21439"/>
                <wp:lineTo x="21454" y="21439"/>
                <wp:lineTo x="21454" y="0"/>
                <wp:lineTo x="0" y="0"/>
              </wp:wrapPolygon>
            </wp:wrapTight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B04">
        <w:rPr>
          <w:rFonts w:ascii="Verdana" w:hAnsi="Verdana"/>
        </w:rPr>
        <w:t>Interestingly, the dynamic between utilisation</w:t>
      </w:r>
      <w:r w:rsidR="00AB2531">
        <w:rPr>
          <w:rFonts w:ascii="Verdana" w:hAnsi="Verdana"/>
        </w:rPr>
        <w:t xml:space="preserve"> and </w:t>
      </w:r>
      <w:r w:rsidR="008D7B04">
        <w:rPr>
          <w:rFonts w:ascii="Verdana" w:hAnsi="Verdana"/>
        </w:rPr>
        <w:t xml:space="preserve">spot rates varies depending on whether utilisation is increasing or decreasing. When utilisation was increasing on the Transpacific, spot rates remained relatively unchanged at a low level, until a trigger point of around 90% nominal vessel utilisation </w:t>
      </w:r>
      <w:r>
        <w:rPr>
          <w:rFonts w:ascii="Verdana" w:hAnsi="Verdana"/>
        </w:rPr>
        <w:t xml:space="preserve">triggered a sharp increase in spot rates. When utilisation levels started to decrease since the peak in February 2022, we see a much more linear relationship between utilisation and spot rates, as illustrated in Figure 1 for the Transpacific trade. We see the same general pattern for Asia-Europe, although with a bit more noise. </w:t>
      </w:r>
      <w:r w:rsidRPr="00E61228">
        <w:rPr>
          <w:rFonts w:ascii="Verdana" w:eastAsia="MS Gothic" w:hAnsi="Verdana" w:cs="MS Gothic"/>
        </w:rPr>
        <w:t>Overall</w:t>
      </w:r>
      <w:r>
        <w:rPr>
          <w:rFonts w:ascii="Verdana" w:eastAsia="MS Gothic" w:hAnsi="Verdana" w:cs="MS Gothic"/>
        </w:rPr>
        <w:t>,</w:t>
      </w:r>
      <w:r w:rsidRPr="00E61228">
        <w:rPr>
          <w:rFonts w:ascii="Verdana" w:eastAsia="MS Gothic" w:hAnsi="Verdana" w:cs="MS Gothic"/>
        </w:rPr>
        <w:t xml:space="preserve"> the rate developments in the </w:t>
      </w:r>
      <w:r>
        <w:rPr>
          <w:rFonts w:ascii="Verdana" w:eastAsia="MS Gothic" w:hAnsi="Verdana" w:cs="MS Gothic"/>
        </w:rPr>
        <w:t>Transp</w:t>
      </w:r>
      <w:r w:rsidRPr="00E61228">
        <w:rPr>
          <w:rFonts w:ascii="Verdana" w:eastAsia="MS Gothic" w:hAnsi="Verdana" w:cs="MS Gothic"/>
        </w:rPr>
        <w:t>acific and Asia-Europe trades match expectations very well</w:t>
      </w:r>
      <w:r>
        <w:rPr>
          <w:rFonts w:ascii="Verdana" w:eastAsia="MS Gothic" w:hAnsi="Verdana" w:cs="MS Gothic"/>
        </w:rPr>
        <w:t>,</w:t>
      </w:r>
      <w:r w:rsidRPr="00E61228">
        <w:rPr>
          <w:rFonts w:ascii="Verdana" w:eastAsia="MS Gothic" w:hAnsi="Verdana" w:cs="MS Gothic"/>
        </w:rPr>
        <w:t xml:space="preserve"> i</w:t>
      </w:r>
      <w:r>
        <w:rPr>
          <w:rFonts w:ascii="Verdana" w:eastAsia="MS Gothic" w:hAnsi="Verdana" w:cs="MS Gothic"/>
        </w:rPr>
        <w:t>f</w:t>
      </w:r>
      <w:r w:rsidRPr="00E61228">
        <w:rPr>
          <w:rFonts w:ascii="Verdana" w:eastAsia="MS Gothic" w:hAnsi="Verdana" w:cs="MS Gothic"/>
        </w:rPr>
        <w:t xml:space="preserve"> the </w:t>
      </w:r>
      <w:r w:rsidRPr="00B8120C">
        <w:rPr>
          <w:rFonts w:ascii="Verdana" w:eastAsia="MS Gothic" w:hAnsi="Verdana" w:cs="MS Gothic"/>
        </w:rPr>
        <w:t>assumption is a market operating with a close link between supply, demand, and pricing.</w:t>
      </w:r>
    </w:p>
    <w:p w14:paraId="7DD81C70" w14:textId="54628C71" w:rsidR="00B8120C" w:rsidRPr="00E61228" w:rsidRDefault="00B8120C" w:rsidP="00B8120C">
      <w:pPr>
        <w:pStyle w:val="Default"/>
        <w:spacing w:before="240" w:line="360" w:lineRule="auto"/>
        <w:jc w:val="both"/>
        <w:rPr>
          <w:rFonts w:ascii="Verdana" w:eastAsia="MS Gothic" w:hAnsi="Verdana" w:cs="MS Gothic"/>
          <w:sz w:val="22"/>
        </w:rPr>
      </w:pPr>
      <w:r w:rsidRPr="00B8120C">
        <w:rPr>
          <w:rFonts w:ascii="Verdana" w:hAnsi="Verdana"/>
          <w:sz w:val="22"/>
          <w:szCs w:val="22"/>
        </w:rPr>
        <w:t xml:space="preserve">However, in the Transatlantic trade </w:t>
      </w:r>
      <w:r w:rsidRPr="00B8120C">
        <w:rPr>
          <w:rFonts w:ascii="Verdana" w:eastAsia="MS Gothic" w:hAnsi="Verdana" w:cs="MS Gothic"/>
          <w:sz w:val="22"/>
          <w:szCs w:val="22"/>
        </w:rPr>
        <w:t>there is seemingly no clear correlation between utilisation and spot rate levels. Unlike the Transpacific and Asia-Europe trades, declining</w:t>
      </w:r>
      <w:r w:rsidRPr="00E61228">
        <w:rPr>
          <w:rFonts w:ascii="Verdana" w:eastAsia="MS Gothic" w:hAnsi="Verdana" w:cs="MS Gothic"/>
          <w:sz w:val="22"/>
        </w:rPr>
        <w:t xml:space="preserve"> utilisation levels have thus far failed to have an impact on pricing in the trade</w:t>
      </w:r>
      <w:r>
        <w:rPr>
          <w:rFonts w:ascii="Verdana" w:eastAsia="MS Gothic" w:hAnsi="Verdana" w:cs="MS Gothic"/>
          <w:sz w:val="22"/>
        </w:rPr>
        <w:t xml:space="preserve">, </w:t>
      </w:r>
      <w:r w:rsidRPr="00E61228">
        <w:rPr>
          <w:rFonts w:ascii="Verdana" w:eastAsia="MS Gothic" w:hAnsi="Verdana" w:cs="MS Gothic"/>
          <w:sz w:val="22"/>
        </w:rPr>
        <w:t xml:space="preserve">indicating </w:t>
      </w:r>
      <w:r w:rsidR="000161CF">
        <w:rPr>
          <w:rFonts w:ascii="Verdana" w:eastAsia="MS Gothic" w:hAnsi="Verdana" w:cs="MS Gothic"/>
          <w:sz w:val="22"/>
        </w:rPr>
        <w:t xml:space="preserve">that </w:t>
      </w:r>
      <w:r w:rsidRPr="00E61228">
        <w:rPr>
          <w:rFonts w:ascii="Verdana" w:eastAsia="MS Gothic" w:hAnsi="Verdana" w:cs="MS Gothic"/>
          <w:sz w:val="22"/>
        </w:rPr>
        <w:t>some other mechanism must also be at play</w:t>
      </w:r>
      <w:r>
        <w:rPr>
          <w:rFonts w:ascii="Verdana" w:eastAsia="MS Gothic" w:hAnsi="Verdana" w:cs="MS Gothic"/>
          <w:sz w:val="22"/>
        </w:rPr>
        <w:t>,</w:t>
      </w:r>
      <w:r w:rsidRPr="00E61228">
        <w:rPr>
          <w:rFonts w:ascii="Verdana" w:eastAsia="MS Gothic" w:hAnsi="Verdana" w:cs="MS Gothic"/>
          <w:sz w:val="22"/>
        </w:rPr>
        <w:t xml:space="preserve"> in determining rate levels on this specific trade.</w:t>
      </w:r>
    </w:p>
    <w:p w14:paraId="6476D51F" w14:textId="77777777" w:rsidR="00B8120C" w:rsidRDefault="00B8120C" w:rsidP="001363C6">
      <w:pPr>
        <w:spacing w:after="120" w:line="360" w:lineRule="auto"/>
        <w:jc w:val="center"/>
        <w:rPr>
          <w:rFonts w:ascii="Verdana" w:eastAsia="Verdana" w:hAnsi="Verdana" w:cs="Verdana"/>
        </w:rPr>
      </w:pPr>
    </w:p>
    <w:p w14:paraId="23D7D40F" w14:textId="77B13623" w:rsidR="00ED3362" w:rsidRDefault="002D7F7B" w:rsidP="001363C6">
      <w:pPr>
        <w:spacing w:after="12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3A46DC14" w:rsidR="00ED3362" w:rsidRDefault="002D7F7B" w:rsidP="001363C6">
      <w:pPr>
        <w:spacing w:after="120" w:line="36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 w:history="1">
        <w:r w:rsidR="00617E94" w:rsidRPr="008563D5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1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1D54" w14:textId="77777777" w:rsidR="00BD59CF" w:rsidRDefault="00BD59CF">
      <w:pPr>
        <w:spacing w:after="0" w:line="240" w:lineRule="auto"/>
      </w:pPr>
      <w:r>
        <w:separator/>
      </w:r>
    </w:p>
  </w:endnote>
  <w:endnote w:type="continuationSeparator" w:id="0">
    <w:p w14:paraId="19C25784" w14:textId="77777777" w:rsidR="00BD59CF" w:rsidRDefault="00B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E584" w14:textId="77777777" w:rsidR="00BD59CF" w:rsidRDefault="00BD59CF">
      <w:pPr>
        <w:spacing w:after="0" w:line="240" w:lineRule="auto"/>
      </w:pPr>
      <w:r>
        <w:separator/>
      </w:r>
    </w:p>
  </w:footnote>
  <w:footnote w:type="continuationSeparator" w:id="0">
    <w:p w14:paraId="462B3FEB" w14:textId="77777777" w:rsidR="00BD59CF" w:rsidRDefault="00BD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1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00BE9"/>
    <w:rsid w:val="000138EF"/>
    <w:rsid w:val="000145DC"/>
    <w:rsid w:val="000161CF"/>
    <w:rsid w:val="00017C87"/>
    <w:rsid w:val="00021071"/>
    <w:rsid w:val="00022322"/>
    <w:rsid w:val="000227DA"/>
    <w:rsid w:val="00026792"/>
    <w:rsid w:val="00027146"/>
    <w:rsid w:val="000302B4"/>
    <w:rsid w:val="00031B77"/>
    <w:rsid w:val="000356E3"/>
    <w:rsid w:val="00057FCB"/>
    <w:rsid w:val="000611CD"/>
    <w:rsid w:val="000656BF"/>
    <w:rsid w:val="00080764"/>
    <w:rsid w:val="00083E1F"/>
    <w:rsid w:val="00091822"/>
    <w:rsid w:val="0009250C"/>
    <w:rsid w:val="00094392"/>
    <w:rsid w:val="00096C88"/>
    <w:rsid w:val="000A47BF"/>
    <w:rsid w:val="000A5C66"/>
    <w:rsid w:val="000B7125"/>
    <w:rsid w:val="000D437A"/>
    <w:rsid w:val="000D4870"/>
    <w:rsid w:val="000D52D3"/>
    <w:rsid w:val="000E560A"/>
    <w:rsid w:val="000F0999"/>
    <w:rsid w:val="001015F7"/>
    <w:rsid w:val="0011039E"/>
    <w:rsid w:val="001249B8"/>
    <w:rsid w:val="00125318"/>
    <w:rsid w:val="00134A93"/>
    <w:rsid w:val="00134DC8"/>
    <w:rsid w:val="001363C6"/>
    <w:rsid w:val="0014062E"/>
    <w:rsid w:val="00142862"/>
    <w:rsid w:val="001541CE"/>
    <w:rsid w:val="001546DB"/>
    <w:rsid w:val="001646D9"/>
    <w:rsid w:val="00172FE1"/>
    <w:rsid w:val="001761B3"/>
    <w:rsid w:val="00176AF7"/>
    <w:rsid w:val="00194A1C"/>
    <w:rsid w:val="00197A86"/>
    <w:rsid w:val="001A1D16"/>
    <w:rsid w:val="001D1262"/>
    <w:rsid w:val="001D1960"/>
    <w:rsid w:val="001D3BE5"/>
    <w:rsid w:val="001E21B5"/>
    <w:rsid w:val="001E63C3"/>
    <w:rsid w:val="00205527"/>
    <w:rsid w:val="00206446"/>
    <w:rsid w:val="0021474D"/>
    <w:rsid w:val="00216E61"/>
    <w:rsid w:val="0022026B"/>
    <w:rsid w:val="002272D6"/>
    <w:rsid w:val="0023428F"/>
    <w:rsid w:val="00235566"/>
    <w:rsid w:val="00242583"/>
    <w:rsid w:val="00242A7C"/>
    <w:rsid w:val="002433F3"/>
    <w:rsid w:val="0024541B"/>
    <w:rsid w:val="00250D79"/>
    <w:rsid w:val="0025229F"/>
    <w:rsid w:val="0025329B"/>
    <w:rsid w:val="002543AD"/>
    <w:rsid w:val="00256DEC"/>
    <w:rsid w:val="00257E31"/>
    <w:rsid w:val="00265D05"/>
    <w:rsid w:val="00270D1D"/>
    <w:rsid w:val="00271D53"/>
    <w:rsid w:val="002754A3"/>
    <w:rsid w:val="0029224A"/>
    <w:rsid w:val="002964A2"/>
    <w:rsid w:val="002A5663"/>
    <w:rsid w:val="002A5767"/>
    <w:rsid w:val="002B3CEB"/>
    <w:rsid w:val="002B3DD7"/>
    <w:rsid w:val="002B7CD2"/>
    <w:rsid w:val="002C75A5"/>
    <w:rsid w:val="002D20CC"/>
    <w:rsid w:val="002D7C4E"/>
    <w:rsid w:val="002D7F7B"/>
    <w:rsid w:val="002E17BD"/>
    <w:rsid w:val="002E5EEE"/>
    <w:rsid w:val="002E7462"/>
    <w:rsid w:val="002F2D51"/>
    <w:rsid w:val="002F45CC"/>
    <w:rsid w:val="00314039"/>
    <w:rsid w:val="003166B0"/>
    <w:rsid w:val="00316B97"/>
    <w:rsid w:val="0032394F"/>
    <w:rsid w:val="00332A3F"/>
    <w:rsid w:val="003331E6"/>
    <w:rsid w:val="00341A4E"/>
    <w:rsid w:val="00345801"/>
    <w:rsid w:val="00352640"/>
    <w:rsid w:val="003526A9"/>
    <w:rsid w:val="00354515"/>
    <w:rsid w:val="0035746C"/>
    <w:rsid w:val="0035763A"/>
    <w:rsid w:val="003611E6"/>
    <w:rsid w:val="00366254"/>
    <w:rsid w:val="00371307"/>
    <w:rsid w:val="003718C1"/>
    <w:rsid w:val="00374ED7"/>
    <w:rsid w:val="003868E8"/>
    <w:rsid w:val="0039083A"/>
    <w:rsid w:val="003A0A48"/>
    <w:rsid w:val="003A7251"/>
    <w:rsid w:val="003C78A9"/>
    <w:rsid w:val="003D0ED2"/>
    <w:rsid w:val="003D185A"/>
    <w:rsid w:val="003D2C7E"/>
    <w:rsid w:val="003D3808"/>
    <w:rsid w:val="003D3E5B"/>
    <w:rsid w:val="003D47B6"/>
    <w:rsid w:val="003E0ACD"/>
    <w:rsid w:val="003E14A9"/>
    <w:rsid w:val="003E26FB"/>
    <w:rsid w:val="003F14F9"/>
    <w:rsid w:val="00431B2C"/>
    <w:rsid w:val="0043531F"/>
    <w:rsid w:val="00442E5F"/>
    <w:rsid w:val="00445291"/>
    <w:rsid w:val="00450632"/>
    <w:rsid w:val="00450BB6"/>
    <w:rsid w:val="00456383"/>
    <w:rsid w:val="0046671D"/>
    <w:rsid w:val="00476919"/>
    <w:rsid w:val="004806C1"/>
    <w:rsid w:val="0049394A"/>
    <w:rsid w:val="004947CE"/>
    <w:rsid w:val="0049654D"/>
    <w:rsid w:val="004A00DB"/>
    <w:rsid w:val="004A160F"/>
    <w:rsid w:val="004A4DB6"/>
    <w:rsid w:val="004A6D1C"/>
    <w:rsid w:val="004B42A5"/>
    <w:rsid w:val="004B6C13"/>
    <w:rsid w:val="004C6DBD"/>
    <w:rsid w:val="004C6EFD"/>
    <w:rsid w:val="004D0BF0"/>
    <w:rsid w:val="004D1478"/>
    <w:rsid w:val="004E4CE8"/>
    <w:rsid w:val="004F449B"/>
    <w:rsid w:val="005010A5"/>
    <w:rsid w:val="00502C23"/>
    <w:rsid w:val="00505109"/>
    <w:rsid w:val="005053B8"/>
    <w:rsid w:val="00513A8B"/>
    <w:rsid w:val="00517F68"/>
    <w:rsid w:val="00531B94"/>
    <w:rsid w:val="00533941"/>
    <w:rsid w:val="0054023B"/>
    <w:rsid w:val="005404B0"/>
    <w:rsid w:val="00542CDC"/>
    <w:rsid w:val="005546D2"/>
    <w:rsid w:val="00557797"/>
    <w:rsid w:val="00557F1A"/>
    <w:rsid w:val="00563D37"/>
    <w:rsid w:val="00567542"/>
    <w:rsid w:val="00570B84"/>
    <w:rsid w:val="0057220B"/>
    <w:rsid w:val="00574EF3"/>
    <w:rsid w:val="0059150D"/>
    <w:rsid w:val="005A0F2B"/>
    <w:rsid w:val="005C4132"/>
    <w:rsid w:val="005C7A1F"/>
    <w:rsid w:val="005D1BC8"/>
    <w:rsid w:val="005D288A"/>
    <w:rsid w:val="005D33F4"/>
    <w:rsid w:val="006003E1"/>
    <w:rsid w:val="00617E94"/>
    <w:rsid w:val="00620847"/>
    <w:rsid w:val="006267B7"/>
    <w:rsid w:val="00627B34"/>
    <w:rsid w:val="00631ACD"/>
    <w:rsid w:val="00633029"/>
    <w:rsid w:val="006426CF"/>
    <w:rsid w:val="00642B38"/>
    <w:rsid w:val="0064629E"/>
    <w:rsid w:val="00652139"/>
    <w:rsid w:val="00652830"/>
    <w:rsid w:val="00655AD1"/>
    <w:rsid w:val="00661DE7"/>
    <w:rsid w:val="00664511"/>
    <w:rsid w:val="006650A5"/>
    <w:rsid w:val="00677227"/>
    <w:rsid w:val="006919AD"/>
    <w:rsid w:val="00691A81"/>
    <w:rsid w:val="0069247C"/>
    <w:rsid w:val="006B382D"/>
    <w:rsid w:val="006C68EA"/>
    <w:rsid w:val="006C7FFE"/>
    <w:rsid w:val="006D5052"/>
    <w:rsid w:val="006D6AD0"/>
    <w:rsid w:val="006D7100"/>
    <w:rsid w:val="006F2C4A"/>
    <w:rsid w:val="00701666"/>
    <w:rsid w:val="00713843"/>
    <w:rsid w:val="00713D65"/>
    <w:rsid w:val="0072601B"/>
    <w:rsid w:val="0073224D"/>
    <w:rsid w:val="00733048"/>
    <w:rsid w:val="007350C3"/>
    <w:rsid w:val="00736072"/>
    <w:rsid w:val="00736DC9"/>
    <w:rsid w:val="00740AC0"/>
    <w:rsid w:val="0075329D"/>
    <w:rsid w:val="007532CE"/>
    <w:rsid w:val="0075413B"/>
    <w:rsid w:val="00765EDF"/>
    <w:rsid w:val="00773291"/>
    <w:rsid w:val="00773B45"/>
    <w:rsid w:val="00774388"/>
    <w:rsid w:val="00774FA0"/>
    <w:rsid w:val="00780274"/>
    <w:rsid w:val="00780A30"/>
    <w:rsid w:val="007A0E85"/>
    <w:rsid w:val="007B386D"/>
    <w:rsid w:val="007B61DD"/>
    <w:rsid w:val="007B6513"/>
    <w:rsid w:val="007C3902"/>
    <w:rsid w:val="007E1DB9"/>
    <w:rsid w:val="007E2E78"/>
    <w:rsid w:val="007E5256"/>
    <w:rsid w:val="007E5983"/>
    <w:rsid w:val="007F04F8"/>
    <w:rsid w:val="007F6FD5"/>
    <w:rsid w:val="007F772C"/>
    <w:rsid w:val="00801850"/>
    <w:rsid w:val="00802F0F"/>
    <w:rsid w:val="00804713"/>
    <w:rsid w:val="008055F7"/>
    <w:rsid w:val="0080765C"/>
    <w:rsid w:val="00817FC5"/>
    <w:rsid w:val="008214F2"/>
    <w:rsid w:val="00825E1B"/>
    <w:rsid w:val="008314AB"/>
    <w:rsid w:val="008342F0"/>
    <w:rsid w:val="008439C5"/>
    <w:rsid w:val="00844376"/>
    <w:rsid w:val="008454ED"/>
    <w:rsid w:val="00845931"/>
    <w:rsid w:val="008516AC"/>
    <w:rsid w:val="00854D88"/>
    <w:rsid w:val="0085561A"/>
    <w:rsid w:val="008670B3"/>
    <w:rsid w:val="00867F0A"/>
    <w:rsid w:val="00873B68"/>
    <w:rsid w:val="00887E35"/>
    <w:rsid w:val="008966F2"/>
    <w:rsid w:val="008B7981"/>
    <w:rsid w:val="008D5C9E"/>
    <w:rsid w:val="008D7B04"/>
    <w:rsid w:val="008E228D"/>
    <w:rsid w:val="008F2D8F"/>
    <w:rsid w:val="008F56B8"/>
    <w:rsid w:val="00900FE9"/>
    <w:rsid w:val="00905056"/>
    <w:rsid w:val="00905B8C"/>
    <w:rsid w:val="00920499"/>
    <w:rsid w:val="00922373"/>
    <w:rsid w:val="009227A5"/>
    <w:rsid w:val="00924591"/>
    <w:rsid w:val="00926A08"/>
    <w:rsid w:val="00927FB2"/>
    <w:rsid w:val="00930159"/>
    <w:rsid w:val="009329FE"/>
    <w:rsid w:val="00942E6C"/>
    <w:rsid w:val="0094492E"/>
    <w:rsid w:val="00961C96"/>
    <w:rsid w:val="0097323E"/>
    <w:rsid w:val="00976323"/>
    <w:rsid w:val="009A276B"/>
    <w:rsid w:val="009A7CAA"/>
    <w:rsid w:val="009B5D60"/>
    <w:rsid w:val="009B6206"/>
    <w:rsid w:val="009C18F5"/>
    <w:rsid w:val="009C3779"/>
    <w:rsid w:val="009C6D25"/>
    <w:rsid w:val="009D2ED5"/>
    <w:rsid w:val="009D34C2"/>
    <w:rsid w:val="009E3D91"/>
    <w:rsid w:val="009E59E1"/>
    <w:rsid w:val="00A046B3"/>
    <w:rsid w:val="00A11CE9"/>
    <w:rsid w:val="00A20422"/>
    <w:rsid w:val="00A33E2A"/>
    <w:rsid w:val="00A447DC"/>
    <w:rsid w:val="00A5146F"/>
    <w:rsid w:val="00A522FF"/>
    <w:rsid w:val="00A55D57"/>
    <w:rsid w:val="00A60374"/>
    <w:rsid w:val="00A60E78"/>
    <w:rsid w:val="00A679DD"/>
    <w:rsid w:val="00A735F4"/>
    <w:rsid w:val="00A74EE2"/>
    <w:rsid w:val="00A86475"/>
    <w:rsid w:val="00A95D76"/>
    <w:rsid w:val="00AA14B5"/>
    <w:rsid w:val="00AA2CEC"/>
    <w:rsid w:val="00AA3DA7"/>
    <w:rsid w:val="00AA7BAD"/>
    <w:rsid w:val="00AB2531"/>
    <w:rsid w:val="00AD3BC2"/>
    <w:rsid w:val="00AD7760"/>
    <w:rsid w:val="00AE1F9A"/>
    <w:rsid w:val="00B03E3B"/>
    <w:rsid w:val="00B0547F"/>
    <w:rsid w:val="00B131BC"/>
    <w:rsid w:val="00B163FD"/>
    <w:rsid w:val="00B218E2"/>
    <w:rsid w:val="00B32272"/>
    <w:rsid w:val="00B5652D"/>
    <w:rsid w:val="00B66978"/>
    <w:rsid w:val="00B67CD7"/>
    <w:rsid w:val="00B76256"/>
    <w:rsid w:val="00B8120C"/>
    <w:rsid w:val="00B91CEC"/>
    <w:rsid w:val="00B95795"/>
    <w:rsid w:val="00BA0A74"/>
    <w:rsid w:val="00BA19E3"/>
    <w:rsid w:val="00BB2003"/>
    <w:rsid w:val="00BB4A87"/>
    <w:rsid w:val="00BB5CCE"/>
    <w:rsid w:val="00BC3AF7"/>
    <w:rsid w:val="00BC580B"/>
    <w:rsid w:val="00BD2ED4"/>
    <w:rsid w:val="00BD59CF"/>
    <w:rsid w:val="00BD78EA"/>
    <w:rsid w:val="00C00E35"/>
    <w:rsid w:val="00C0153D"/>
    <w:rsid w:val="00C03430"/>
    <w:rsid w:val="00C04E28"/>
    <w:rsid w:val="00C07B37"/>
    <w:rsid w:val="00C216E4"/>
    <w:rsid w:val="00C2538D"/>
    <w:rsid w:val="00C33613"/>
    <w:rsid w:val="00C35EE1"/>
    <w:rsid w:val="00C472A1"/>
    <w:rsid w:val="00C54085"/>
    <w:rsid w:val="00C8785D"/>
    <w:rsid w:val="00C9668E"/>
    <w:rsid w:val="00CA2B29"/>
    <w:rsid w:val="00CA3116"/>
    <w:rsid w:val="00CD2F94"/>
    <w:rsid w:val="00CE242A"/>
    <w:rsid w:val="00CE4080"/>
    <w:rsid w:val="00CE46C2"/>
    <w:rsid w:val="00CE63FD"/>
    <w:rsid w:val="00CE67AE"/>
    <w:rsid w:val="00CF63C3"/>
    <w:rsid w:val="00D00CC1"/>
    <w:rsid w:val="00D0547A"/>
    <w:rsid w:val="00D14E35"/>
    <w:rsid w:val="00D16D31"/>
    <w:rsid w:val="00D30354"/>
    <w:rsid w:val="00D41230"/>
    <w:rsid w:val="00D42346"/>
    <w:rsid w:val="00D52CEF"/>
    <w:rsid w:val="00D602C7"/>
    <w:rsid w:val="00D62A7C"/>
    <w:rsid w:val="00D668E7"/>
    <w:rsid w:val="00D73089"/>
    <w:rsid w:val="00D84E6D"/>
    <w:rsid w:val="00D85C54"/>
    <w:rsid w:val="00D87062"/>
    <w:rsid w:val="00D8755E"/>
    <w:rsid w:val="00D97E8E"/>
    <w:rsid w:val="00DA67D3"/>
    <w:rsid w:val="00DA6FF7"/>
    <w:rsid w:val="00DB0861"/>
    <w:rsid w:val="00DB0EF7"/>
    <w:rsid w:val="00DD55DE"/>
    <w:rsid w:val="00DE15B1"/>
    <w:rsid w:val="00DE3640"/>
    <w:rsid w:val="00DE487E"/>
    <w:rsid w:val="00DF12F6"/>
    <w:rsid w:val="00DF1A86"/>
    <w:rsid w:val="00E01947"/>
    <w:rsid w:val="00E02826"/>
    <w:rsid w:val="00E054A8"/>
    <w:rsid w:val="00E13A25"/>
    <w:rsid w:val="00E17AE2"/>
    <w:rsid w:val="00E22978"/>
    <w:rsid w:val="00E245CA"/>
    <w:rsid w:val="00E262B3"/>
    <w:rsid w:val="00E30E9C"/>
    <w:rsid w:val="00E3260A"/>
    <w:rsid w:val="00E32FB8"/>
    <w:rsid w:val="00E41639"/>
    <w:rsid w:val="00E42162"/>
    <w:rsid w:val="00E441BB"/>
    <w:rsid w:val="00E450F1"/>
    <w:rsid w:val="00E45647"/>
    <w:rsid w:val="00E5060F"/>
    <w:rsid w:val="00E52D9A"/>
    <w:rsid w:val="00E53572"/>
    <w:rsid w:val="00E62CDE"/>
    <w:rsid w:val="00E65CB5"/>
    <w:rsid w:val="00E66246"/>
    <w:rsid w:val="00E8657B"/>
    <w:rsid w:val="00E91334"/>
    <w:rsid w:val="00E9229E"/>
    <w:rsid w:val="00E9392D"/>
    <w:rsid w:val="00E96464"/>
    <w:rsid w:val="00EA0709"/>
    <w:rsid w:val="00EA3321"/>
    <w:rsid w:val="00EA6902"/>
    <w:rsid w:val="00EA76A1"/>
    <w:rsid w:val="00EB1D39"/>
    <w:rsid w:val="00EB2510"/>
    <w:rsid w:val="00EC721F"/>
    <w:rsid w:val="00ED3362"/>
    <w:rsid w:val="00EE0039"/>
    <w:rsid w:val="00EE36CF"/>
    <w:rsid w:val="00EE44F9"/>
    <w:rsid w:val="00EF192E"/>
    <w:rsid w:val="00EF2CE2"/>
    <w:rsid w:val="00F010CB"/>
    <w:rsid w:val="00F04721"/>
    <w:rsid w:val="00F07C8E"/>
    <w:rsid w:val="00F16932"/>
    <w:rsid w:val="00F22300"/>
    <w:rsid w:val="00F2368E"/>
    <w:rsid w:val="00F23B02"/>
    <w:rsid w:val="00F3460F"/>
    <w:rsid w:val="00F34793"/>
    <w:rsid w:val="00F43049"/>
    <w:rsid w:val="00F47D46"/>
    <w:rsid w:val="00F50F8B"/>
    <w:rsid w:val="00F53DB5"/>
    <w:rsid w:val="00F54094"/>
    <w:rsid w:val="00F57410"/>
    <w:rsid w:val="00F600E0"/>
    <w:rsid w:val="00F6011C"/>
    <w:rsid w:val="00F6455F"/>
    <w:rsid w:val="00F741AD"/>
    <w:rsid w:val="00F825C6"/>
    <w:rsid w:val="00F86594"/>
    <w:rsid w:val="00F86A51"/>
    <w:rsid w:val="00F87289"/>
    <w:rsid w:val="00F93AF2"/>
    <w:rsid w:val="00F969EE"/>
    <w:rsid w:val="00FA2E94"/>
    <w:rsid w:val="00FB014C"/>
    <w:rsid w:val="00FB07C6"/>
    <w:rsid w:val="00FB4DA9"/>
    <w:rsid w:val="00FC6E64"/>
    <w:rsid w:val="00FD4E3C"/>
    <w:rsid w:val="00FE2686"/>
    <w:rsid w:val="00FF3655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  <w:style w:type="paragraph" w:customStyle="1" w:styleId="Default">
    <w:name w:val="Default"/>
    <w:rsid w:val="00B8120C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@sea-intellig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Niels Madsen</cp:lastModifiedBy>
  <cp:revision>16</cp:revision>
  <dcterms:created xsi:type="dcterms:W3CDTF">2023-01-30T20:39:00Z</dcterms:created>
  <dcterms:modified xsi:type="dcterms:W3CDTF">2023-02-23T10:30:00Z</dcterms:modified>
</cp:coreProperties>
</file>